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2AA56051">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7B2BE80E">
      <w:pPr>
        <w:widowControl/>
        <w:spacing w:line="360" w:lineRule="auto"/>
        <w:jc w:val="center"/>
        <w:rPr>
          <w:rFonts w:hint="default" w:ascii="宋体" w:hAnsi="宋体" w:cs="宋体"/>
          <w:b/>
          <w:kern w:val="0"/>
          <w:sz w:val="52"/>
          <w:szCs w:val="52"/>
          <w:lang w:val="en-US" w:eastAsia="zh-CN"/>
        </w:rPr>
      </w:pPr>
      <w:r>
        <w:rPr>
          <w:rFonts w:hint="eastAsia" w:ascii="宋体" w:hAnsi="宋体" w:cs="宋体"/>
          <w:b/>
          <w:kern w:val="0"/>
          <w:sz w:val="52"/>
          <w:szCs w:val="52"/>
          <w:lang w:val="en-US" w:eastAsia="zh-CN"/>
        </w:rPr>
        <w:t>事故风机与报警装置联锁改造项目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3BA63DE">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144E2F9A">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w:t>
      </w:r>
    </w:p>
    <w:p w14:paraId="7AC11874">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bookmarkStart w:id="24" w:name="_GoBack"/>
      <w:bookmarkEnd w:id="24"/>
      <w:r>
        <w:rPr>
          <w:rFonts w:hint="eastAsia" w:ascii="宋体" w:hAnsi="宋体"/>
          <w:sz w:val="28"/>
          <w:szCs w:val="28"/>
          <w:u w:val="none"/>
          <w:lang w:val="en-US" w:eastAsia="zh-CN"/>
        </w:rPr>
        <w:t>4</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4D6CFAAC"/>
    <w:p w14:paraId="4EDA2617">
      <w:pPr>
        <w:pStyle w:val="7"/>
        <w:spacing w:line="360" w:lineRule="auto"/>
        <w:jc w:val="center"/>
        <w:rPr>
          <w:rFonts w:hAnsi="宋体"/>
          <w:b/>
          <w:bCs/>
          <w:sz w:val="24"/>
        </w:rPr>
      </w:pPr>
      <w:r>
        <w:rPr>
          <w:rFonts w:hAnsi="宋体"/>
          <w:b/>
          <w:bCs/>
          <w:sz w:val="24"/>
        </w:rPr>
        <w:tab/>
      </w:r>
    </w:p>
    <w:p w14:paraId="7EBA49CF">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4</w:t>
      </w:r>
    </w:p>
    <w:p w14:paraId="3681A35E">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6</w:t>
      </w:r>
    </w:p>
    <w:p w14:paraId="4B1FA08E">
      <w:r>
        <w:rPr>
          <w:b w:val="0"/>
          <w:bCs/>
          <w:sz w:val="36"/>
          <w:szCs w:val="36"/>
        </w:rPr>
        <w:fldChar w:fldCharType="end"/>
      </w:r>
    </w:p>
    <w:p w14:paraId="11BBB0ED">
      <w:pPr>
        <w:pStyle w:val="7"/>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7B821463">
      <w:pPr>
        <w:pStyle w:val="7"/>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7"/>
        <w:spacing w:line="360" w:lineRule="auto"/>
        <w:rPr>
          <w:rFonts w:hint="eastAsia" w:ascii="黑体" w:eastAsia="黑体"/>
          <w:b/>
          <w:bCs/>
          <w:sz w:val="28"/>
        </w:rPr>
      </w:pPr>
      <w:r>
        <w:rPr>
          <w:rFonts w:hint="eastAsia" w:ascii="黑体" w:eastAsia="黑体"/>
          <w:b/>
          <w:bCs/>
          <w:sz w:val="28"/>
        </w:rPr>
        <w:t>一、项目名称</w:t>
      </w:r>
    </w:p>
    <w:p w14:paraId="62674DED">
      <w:pPr>
        <w:pStyle w:val="7"/>
        <w:spacing w:line="360" w:lineRule="auto"/>
        <w:ind w:left="420"/>
        <w:rPr>
          <w:rFonts w:hint="eastAsia"/>
          <w:lang w:val="en-US" w:eastAsia="zh-CN"/>
        </w:rPr>
      </w:pPr>
      <w:r>
        <w:rPr>
          <w:rFonts w:hint="eastAsia"/>
        </w:rPr>
        <w:t>项目名称：</w:t>
      </w:r>
      <w:r>
        <w:rPr>
          <w:rFonts w:hint="eastAsia"/>
          <w:lang w:val="en-US" w:eastAsia="zh-CN"/>
        </w:rPr>
        <w:t>事故风机与报警装置联锁改造项目</w:t>
      </w:r>
    </w:p>
    <w:p w14:paraId="7CE24266">
      <w:pPr>
        <w:pStyle w:val="7"/>
        <w:spacing w:line="360" w:lineRule="auto"/>
        <w:ind w:left="420"/>
        <w:rPr>
          <w:rFonts w:hint="default"/>
          <w:lang w:val="en-US" w:eastAsia="zh-CN"/>
        </w:rPr>
      </w:pPr>
      <w:r>
        <w:rPr>
          <w:rFonts w:hint="eastAsia"/>
          <w:lang w:val="en-US" w:eastAsia="zh-CN"/>
        </w:rPr>
        <w:t>项目编号：</w:t>
      </w:r>
    </w:p>
    <w:p w14:paraId="113BE078">
      <w:pPr>
        <w:pStyle w:val="7"/>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70260FC7">
      <w:pPr>
        <w:widowControl/>
        <w:spacing w:line="480" w:lineRule="exact"/>
        <w:ind w:firstLine="420" w:firstLineChars="200"/>
        <w:jc w:val="left"/>
        <w:rPr>
          <w:rFonts w:hint="eastAsia"/>
          <w:i w:val="0"/>
          <w:iCs w:val="0"/>
          <w:lang w:val="en-US" w:eastAsia="zh-CN"/>
        </w:rPr>
      </w:pPr>
      <w:r>
        <w:rPr>
          <w:rFonts w:hint="eastAsia"/>
          <w:i w:val="0"/>
          <w:iCs w:val="0"/>
          <w:lang w:val="en-US" w:eastAsia="zh-CN"/>
        </w:rPr>
        <w:t>1、卡车公司设备动能部12处事故风机与报警装置联锁存在安全隐患，结合《生产过程安全基本要求》（GB 12801-2025）第4.3.6条存在可燃气体或有毒气体的建筑物，其事故排风系统应与气体报警器联锁，《工业建筑供暖通风与空气调节设计规范》（GB 50019-2015）第6.4.6条工作场所设置有有毒气体或有爆炸危险气体监测及报警装置时，事故通风装置应与报警装置联锁的条款要求，本次整改实施内容如下：</w:t>
      </w:r>
    </w:p>
    <w:p w14:paraId="19FCF592">
      <w:pPr>
        <w:widowControl/>
        <w:spacing w:line="480" w:lineRule="exact"/>
        <w:ind w:firstLine="422" w:firstLineChars="200"/>
        <w:jc w:val="left"/>
        <w:rPr>
          <w:rFonts w:hint="eastAsia"/>
          <w:i w:val="0"/>
          <w:iCs w:val="0"/>
          <w:lang w:val="en-US" w:eastAsia="zh-CN"/>
        </w:rPr>
      </w:pPr>
      <w:r>
        <w:rPr>
          <w:rFonts w:hint="default" w:ascii="Calibri" w:hAnsi="Calibri" w:cs="Calibri"/>
          <w:b/>
          <w:bCs/>
          <w:i w:val="0"/>
          <w:iCs w:val="0"/>
          <w:lang w:val="en-US" w:eastAsia="zh-CN"/>
        </w:rPr>
        <w:t>①</w:t>
      </w:r>
      <w:r>
        <w:rPr>
          <w:rFonts w:hint="eastAsia"/>
          <w:b/>
          <w:bCs/>
          <w:i w:val="0"/>
          <w:iCs w:val="0"/>
          <w:lang w:val="en-US" w:eastAsia="zh-CN"/>
        </w:rPr>
        <w:t> 加装联锁控制装置：</w:t>
      </w:r>
      <w:r>
        <w:rPr>
          <w:rFonts w:hint="eastAsia"/>
          <w:i w:val="0"/>
          <w:iCs w:val="0"/>
          <w:lang w:val="en-US" w:eastAsia="zh-CN"/>
        </w:rPr>
        <w:t>对莱芜污水站、综合站房锅炉房、党家庄污水站等涉及的12处存在可燃/有毒气体的建筑物内事故风机，全部加装联动控制箱，实现事故风机与气体报警主机的自动联锁功能，同时保留手动控制模式，满足事故通风应急操作需求。</w:t>
      </w:r>
    </w:p>
    <w:p w14:paraId="519BF1CA">
      <w:pPr>
        <w:pStyle w:val="70"/>
        <w:rPr>
          <w:rFonts w:hint="eastAsia" w:ascii="Times New Roman" w:hAnsi="Times New Roman" w:eastAsia="宋体" w:cs="Times New Roman"/>
          <w:i w:val="0"/>
          <w:iCs w:val="0"/>
          <w:kern w:val="2"/>
          <w:sz w:val="21"/>
          <w:lang w:val="en-US" w:eastAsia="zh-CN" w:bidi="ar-SA"/>
        </w:rPr>
      </w:pPr>
      <w:r>
        <w:rPr>
          <w:rFonts w:hint="default" w:ascii="Calibri" w:hAnsi="Calibri" w:eastAsia="宋体" w:cs="Calibri"/>
          <w:b/>
          <w:bCs/>
          <w:i w:val="0"/>
          <w:iCs w:val="0"/>
          <w:kern w:val="2"/>
          <w:sz w:val="21"/>
          <w:lang w:val="en-US" w:eastAsia="zh-CN" w:bidi="ar-SA"/>
        </w:rPr>
        <w:t>②</w:t>
      </w:r>
      <w:r>
        <w:rPr>
          <w:rFonts w:hint="eastAsia" w:ascii="Times New Roman" w:hAnsi="Times New Roman" w:eastAsia="宋体" w:cs="Times New Roman"/>
          <w:b/>
          <w:bCs/>
          <w:i w:val="0"/>
          <w:iCs w:val="0"/>
          <w:kern w:val="2"/>
          <w:sz w:val="21"/>
          <w:lang w:val="en-US" w:eastAsia="zh-CN" w:bidi="ar-SA"/>
        </w:rPr>
        <w:t>更换损坏设备：</w:t>
      </w:r>
      <w:r>
        <w:rPr>
          <w:rFonts w:hint="eastAsia" w:ascii="Times New Roman" w:hAnsi="Times New Roman" w:eastAsia="宋体" w:cs="Times New Roman"/>
          <w:i w:val="0"/>
          <w:iCs w:val="0"/>
          <w:kern w:val="2"/>
          <w:sz w:val="21"/>
          <w:lang w:val="en-US" w:eastAsia="zh-CN" w:bidi="ar-SA"/>
        </w:rPr>
        <w:t>排查并更换现场已损坏的4个排风风机，保障事故通风系统设备完好，确保联锁联动后通风装置可正常运行，彻底消除气体泄漏后事故排风无法及时启动的安全隐患。</w:t>
      </w:r>
    </w:p>
    <w:p w14:paraId="1BBAA96B">
      <w:pPr>
        <w:pStyle w:val="70"/>
        <w:rPr>
          <w:rFonts w:hint="default" w:ascii="Times New Roman" w:hAnsi="Times New Roman" w:eastAsia="宋体" w:cs="Times New Roman"/>
          <w:b/>
          <w:bCs/>
          <w:i w:val="0"/>
          <w:iCs w:val="0"/>
          <w:kern w:val="2"/>
          <w:sz w:val="21"/>
          <w:lang w:val="en-US" w:eastAsia="zh-CN" w:bidi="ar-SA"/>
        </w:rPr>
      </w:pPr>
      <w:r>
        <w:rPr>
          <w:rFonts w:hint="eastAsia" w:ascii="Times New Roman" w:hAnsi="Times New Roman" w:eastAsia="宋体" w:cs="Times New Roman"/>
          <w:b/>
          <w:bCs/>
          <w:i w:val="0"/>
          <w:iCs w:val="0"/>
          <w:kern w:val="2"/>
          <w:sz w:val="21"/>
          <w:lang w:val="en-US" w:eastAsia="zh-CN" w:bidi="ar-SA"/>
        </w:rPr>
        <w:t>注：接标书后3日内，投标方</w:t>
      </w:r>
      <w:r>
        <w:rPr>
          <w:rFonts w:hint="eastAsia" w:ascii="Times New Roman" w:hAnsi="Times New Roman" w:cs="Times New Roman"/>
          <w:b/>
          <w:bCs/>
          <w:i w:val="0"/>
          <w:iCs w:val="0"/>
          <w:kern w:val="2"/>
          <w:sz w:val="21"/>
          <w:lang w:val="en-US" w:eastAsia="zh-CN" w:bidi="ar-SA"/>
        </w:rPr>
        <w:t>视其项目理解情况</w:t>
      </w:r>
      <w:r>
        <w:rPr>
          <w:rFonts w:hint="eastAsia" w:ascii="Times New Roman" w:hAnsi="Times New Roman" w:eastAsia="宋体" w:cs="Times New Roman"/>
          <w:b/>
          <w:bCs/>
          <w:i w:val="0"/>
          <w:iCs w:val="0"/>
          <w:kern w:val="2"/>
          <w:sz w:val="21"/>
          <w:lang w:val="en-US" w:eastAsia="zh-CN" w:bidi="ar-SA"/>
        </w:rPr>
        <w:t>对现场施工情况进行核实，逾期不进行核实视为</w:t>
      </w:r>
      <w:r>
        <w:rPr>
          <w:rFonts w:hint="eastAsia" w:ascii="Times New Roman" w:hAnsi="Times New Roman" w:cs="Times New Roman"/>
          <w:b/>
          <w:bCs/>
          <w:i w:val="0"/>
          <w:iCs w:val="0"/>
          <w:kern w:val="2"/>
          <w:sz w:val="21"/>
          <w:lang w:val="en-US" w:eastAsia="zh-CN" w:bidi="ar-SA"/>
        </w:rPr>
        <w:t>认可招标文件所有内容</w:t>
      </w:r>
      <w:r>
        <w:rPr>
          <w:rFonts w:hint="eastAsia" w:ascii="Times New Roman" w:hAnsi="Times New Roman" w:eastAsia="宋体" w:cs="Times New Roman"/>
          <w:b/>
          <w:bCs/>
          <w:i w:val="0"/>
          <w:iCs w:val="0"/>
          <w:kern w:val="2"/>
          <w:sz w:val="21"/>
          <w:lang w:val="en-US" w:eastAsia="zh-CN" w:bidi="ar-SA"/>
        </w:rPr>
        <w:t>。</w:t>
      </w:r>
    </w:p>
    <w:p w14:paraId="3A242CD1">
      <w:pPr>
        <w:pStyle w:val="7"/>
        <w:numPr>
          <w:ilvl w:val="0"/>
          <w:numId w:val="3"/>
        </w:numPr>
        <w:spacing w:line="360" w:lineRule="auto"/>
        <w:ind w:firstLine="420" w:firstLineChars="200"/>
        <w:rPr>
          <w:rFonts w:hint="eastAsia"/>
        </w:rPr>
      </w:pPr>
      <w:r>
        <w:rPr>
          <w:rFonts w:hint="eastAsia"/>
        </w:rPr>
        <w:t>招标形式：公开招标。</w:t>
      </w:r>
    </w:p>
    <w:p w14:paraId="52124B55">
      <w:pPr>
        <w:pStyle w:val="7"/>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7407425F">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cs="宋体"/>
          <w:b/>
          <w:bCs/>
          <w:sz w:val="21"/>
          <w:szCs w:val="21"/>
          <w:highlight w:val="none"/>
          <w:lang w:val="en-US" w:eastAsia="zh-CN"/>
        </w:rPr>
        <w:t>30天</w:t>
      </w:r>
      <w:r>
        <w:rPr>
          <w:rFonts w:hint="eastAsia" w:ascii="宋体" w:hAnsi="宋体" w:eastAsia="宋体" w:cs="宋体"/>
          <w:b/>
          <w:bCs/>
          <w:sz w:val="21"/>
          <w:szCs w:val="21"/>
          <w:highlight w:val="none"/>
          <w:lang w:val="en-US" w:eastAsia="zh-CN"/>
        </w:rPr>
        <w:t>。</w:t>
      </w:r>
    </w:p>
    <w:p w14:paraId="7B8C9C44">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：中国重汽集团济南卡车股份有限公司党家厂区、莱芜厂区</w:t>
      </w:r>
    </w:p>
    <w:p w14:paraId="03DBC406">
      <w:pPr>
        <w:pStyle w:val="7"/>
        <w:spacing w:line="360" w:lineRule="auto"/>
        <w:ind w:firstLine="422" w:firstLineChars="200"/>
        <w:rPr>
          <w:rFonts w:hint="eastAsia"/>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b/>
          <w:bCs/>
          <w:highlight w:val="none"/>
          <w:u w:val="single"/>
        </w:rPr>
        <w:t>验收款90%，质保金10%</w:t>
      </w:r>
      <w:r>
        <w:rPr>
          <w:rFonts w:hint="eastAsia"/>
        </w:rPr>
        <w:t>。</w:t>
      </w:r>
    </w:p>
    <w:p w14:paraId="24E66345">
      <w:pPr>
        <w:pStyle w:val="7"/>
        <w:spacing w:line="360" w:lineRule="auto"/>
        <w:ind w:firstLine="420" w:firstLineChars="200"/>
        <w:rPr>
          <w:rFonts w:hint="eastAsia"/>
        </w:rPr>
      </w:pPr>
      <w:r>
        <w:rPr>
          <w:rFonts w:hint="eastAsia"/>
        </w:rPr>
        <w:t>具体以双方最终签署的合同为准</w:t>
      </w:r>
      <w:r>
        <w:rPr>
          <w:rFonts w:hint="eastAsia"/>
          <w:lang w:eastAsia="zh-CN"/>
        </w:rPr>
        <w:t>：</w:t>
      </w:r>
      <w:r>
        <w:rPr>
          <w:rFonts w:hint="eastAsia"/>
          <w:b/>
          <w:bCs/>
          <w:u w:val="single"/>
          <w:lang w:eastAsia="zh-CN"/>
        </w:rPr>
        <w:t>框架合同，据实结算。</w:t>
      </w:r>
    </w:p>
    <w:p w14:paraId="77D31DCD">
      <w:pPr>
        <w:pStyle w:val="7"/>
        <w:spacing w:line="360" w:lineRule="auto"/>
        <w:ind w:firstLine="422" w:firstLineChars="200"/>
        <w:rPr>
          <w:rFonts w:hint="eastAsia"/>
          <w:b/>
          <w:bCs/>
          <w:highlight w:val="none"/>
          <w:u w:val="single"/>
          <w:lang w:eastAsia="zh-CN"/>
        </w:rPr>
      </w:pPr>
      <w:r>
        <w:rPr>
          <w:rFonts w:hint="eastAsia"/>
          <w:b/>
          <w:bCs/>
          <w:highlight w:val="none"/>
          <w:u w:val="none"/>
        </w:rPr>
        <w:t>付款结算方法：</w:t>
      </w:r>
      <w:r>
        <w:rPr>
          <w:rFonts w:hint="eastAsia"/>
          <w:b/>
          <w:bCs/>
          <w:highlight w:val="none"/>
          <w:u w:val="single"/>
        </w:rPr>
        <w:t>半年期</w:t>
      </w:r>
      <w:r>
        <w:rPr>
          <w:rFonts w:hint="eastAsia"/>
          <w:b/>
          <w:bCs/>
          <w:highlight w:val="none"/>
          <w:u w:val="single"/>
          <w:lang w:val="en-US" w:eastAsia="zh-CN"/>
        </w:rPr>
        <w:t>商业</w:t>
      </w:r>
      <w:r>
        <w:rPr>
          <w:rFonts w:hint="eastAsia"/>
          <w:b/>
          <w:bCs/>
          <w:highlight w:val="none"/>
          <w:u w:val="single"/>
        </w:rPr>
        <w:t>汇票（包括银行承兑汇票和商业承兑汇票）</w:t>
      </w:r>
    </w:p>
    <w:p w14:paraId="0D0B9E4E">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①</w:t>
      </w:r>
      <w:r>
        <w:rPr>
          <w:rFonts w:hint="eastAsia" w:ascii="宋体" w:hAnsi="宋体" w:eastAsia="宋体" w:cs="宋体"/>
          <w:b w:val="0"/>
          <w:bCs w:val="0"/>
          <w:sz w:val="21"/>
          <w:szCs w:val="21"/>
          <w:highlight w:val="none"/>
          <w:lang w:val="en-US" w:eastAsia="zh-CN"/>
        </w:rPr>
        <w:t>在合同约定期限内全部实施完毕无质量问题，经最终验收合格后中标方提交下列单据经招标方审核无误后，招标方根据济南卡车制造公司财务管理流程，按照规定挂账后30天账期，账期满后提交资金计划后付给中标方合同结算价格约 90%的价款。</w:t>
      </w:r>
    </w:p>
    <w:p w14:paraId="19B5954C">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 金额为合同总价格100%的增值税专用发票（适应税率）。</w:t>
      </w:r>
    </w:p>
    <w:p w14:paraId="1434B38D">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 该项目最终验收该项目最终验收证书的复印件一份，财务授权书一式两份，营业执照复印件一份。</w:t>
      </w:r>
    </w:p>
    <w:p w14:paraId="6DE2646B">
      <w:pPr>
        <w:pStyle w:val="7"/>
        <w:spacing w:line="360" w:lineRule="auto"/>
        <w:ind w:firstLine="420" w:firstLineChars="200"/>
        <w:rPr>
          <w:rFonts w:hint="eastAsia" w:ascii="黑体" w:eastAsia="黑体"/>
          <w:b/>
          <w:bCs/>
          <w:sz w:val="28"/>
        </w:rPr>
      </w:pPr>
      <w:r>
        <w:rPr>
          <w:rFonts w:hint="eastAsia" w:ascii="宋体" w:hAnsi="宋体" w:eastAsia="宋体" w:cs="宋体"/>
          <w:b w:val="0"/>
          <w:bCs w:val="0"/>
          <w:sz w:val="21"/>
          <w:szCs w:val="21"/>
          <w:highlight w:val="none"/>
          <w:lang w:val="en-US" w:eastAsia="zh-CN"/>
        </w:rPr>
        <w:t>②剩余合同</w:t>
      </w:r>
      <w:r>
        <w:rPr>
          <w:rFonts w:hint="eastAsia" w:hAnsi="宋体" w:cs="宋体"/>
          <w:b w:val="0"/>
          <w:bCs w:val="0"/>
          <w:sz w:val="21"/>
          <w:szCs w:val="21"/>
          <w:highlight w:val="none"/>
          <w:lang w:val="en-US" w:eastAsia="zh-CN"/>
        </w:rPr>
        <w:t>结算</w:t>
      </w:r>
      <w:r>
        <w:rPr>
          <w:rFonts w:hint="eastAsia" w:ascii="宋体" w:hAnsi="宋体" w:eastAsia="宋体" w:cs="宋体"/>
          <w:b w:val="0"/>
          <w:bCs w:val="0"/>
          <w:sz w:val="21"/>
          <w:szCs w:val="21"/>
          <w:highlight w:val="none"/>
          <w:lang w:val="en-US" w:eastAsia="zh-CN"/>
        </w:rPr>
        <w:t>价款的 10% 作为质量保证金，待本项目整体质量保证期（</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lang w:val="en-US" w:eastAsia="zh-CN"/>
        </w:rPr>
        <w:t>年）满，经招标单位出具证明和必要的手续，招标方支付给投标方该套合同总价格的 10%质保金（如有问题，应扣除相应部分款项）。</w:t>
      </w:r>
      <w:r>
        <w:rPr>
          <w:rFonts w:hint="eastAsia" w:ascii="宋体" w:hAnsi="宋体" w:eastAsia="宋体" w:cs="宋体"/>
          <w:b w:val="0"/>
          <w:bCs w:val="0"/>
          <w:sz w:val="21"/>
          <w:szCs w:val="21"/>
          <w:highlight w:val="none"/>
          <w:lang w:val="en-US" w:eastAsia="zh-CN"/>
        </w:rPr>
        <w:br w:type="textWrapping"/>
      </w:r>
      <w:r>
        <w:rPr>
          <w:rFonts w:hint="eastAsia" w:ascii="黑体" w:eastAsia="黑体"/>
          <w:b/>
          <w:bCs/>
          <w:sz w:val="28"/>
        </w:rPr>
        <w:t xml:space="preserve">四、议程安排 </w:t>
      </w:r>
    </w:p>
    <w:p w14:paraId="1185BE2D">
      <w:pPr>
        <w:pStyle w:val="7"/>
        <w:numPr>
          <w:ilvl w:val="0"/>
          <w:numId w:val="4"/>
        </w:numPr>
        <w:spacing w:line="360" w:lineRule="auto"/>
        <w:ind w:left="425" w:leftChars="0" w:hanging="425" w:firstLineChars="0"/>
        <w:rPr>
          <w:rFonts w:hint="eastAsia"/>
          <w:color w:val="auto"/>
        </w:rPr>
      </w:pPr>
      <w:r>
        <w:rPr>
          <w:rFonts w:hint="eastAsia"/>
          <w:color w:val="auto"/>
        </w:rPr>
        <w:t>报名截止时间：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7</w:t>
      </w:r>
      <w:r>
        <w:rPr>
          <w:rFonts w:hint="eastAsia" w:cs="Times New Roman"/>
          <w:color w:val="0000FF"/>
        </w:rPr>
        <w:t>月</w:t>
      </w:r>
      <w:r>
        <w:rPr>
          <w:rFonts w:hint="eastAsia" w:cs="Times New Roman"/>
          <w:color w:val="0000FF"/>
          <w:lang w:val="en-US" w:eastAsia="zh-CN"/>
        </w:rPr>
        <w:t xml:space="preserve"> 16</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olor w:val="auto"/>
        </w:rPr>
        <w:t>。</w:t>
      </w:r>
    </w:p>
    <w:p w14:paraId="7376D370">
      <w:pPr>
        <w:pStyle w:val="7"/>
        <w:numPr>
          <w:ilvl w:val="0"/>
          <w:numId w:val="4"/>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7</w:t>
      </w:r>
      <w:r>
        <w:rPr>
          <w:rFonts w:hint="eastAsia"/>
          <w:color w:val="0000FF"/>
        </w:rPr>
        <w:t>月</w:t>
      </w:r>
      <w:r>
        <w:rPr>
          <w:rFonts w:hint="eastAsia"/>
          <w:color w:val="0000FF"/>
          <w:lang w:val="en-US" w:eastAsia="zh-CN"/>
        </w:rPr>
        <w:t xml:space="preserve"> 22 </w:t>
      </w:r>
      <w:r>
        <w:rPr>
          <w:rFonts w:hint="eastAsia"/>
          <w:color w:val="0000FF"/>
        </w:rPr>
        <w:t>日</w:t>
      </w:r>
      <w:r>
        <w:rPr>
          <w:rFonts w:hint="eastAsia" w:cs="Times New Roman"/>
          <w:color w:val="0000FF"/>
        </w:rPr>
        <w:t>下午</w:t>
      </w:r>
      <w:r>
        <w:rPr>
          <w:rFonts w:hint="eastAsia" w:cs="Times New Roman"/>
          <w:color w:val="0000FF"/>
          <w:lang w:val="en-US" w:eastAsia="zh-CN"/>
        </w:rPr>
        <w:t>17</w:t>
      </w:r>
      <w:r>
        <w:rPr>
          <w:rFonts w:hint="eastAsia" w:cs="Times New Roman"/>
          <w:color w:val="0000FF"/>
        </w:rPr>
        <w:t>时</w:t>
      </w:r>
      <w:r>
        <w:rPr>
          <w:rFonts w:hint="eastAsia"/>
          <w:color w:val="0000FF"/>
        </w:rPr>
        <w:t>前。</w:t>
      </w:r>
    </w:p>
    <w:p w14:paraId="261CEBEE">
      <w:pPr>
        <w:pStyle w:val="7"/>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7"/>
        <w:numPr>
          <w:ilvl w:val="0"/>
          <w:numId w:val="4"/>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7</w:t>
      </w:r>
      <w:r>
        <w:rPr>
          <w:rFonts w:hint="eastAsia" w:cs="Times New Roman"/>
          <w:color w:val="0000FF"/>
        </w:rPr>
        <w:t>月</w:t>
      </w:r>
      <w:r>
        <w:rPr>
          <w:rFonts w:hint="eastAsia" w:cs="Times New Roman"/>
          <w:color w:val="0000FF"/>
          <w:lang w:val="en-US" w:eastAsia="zh-CN"/>
        </w:rPr>
        <w:t xml:space="preserve">22 </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s="Times New Roman"/>
          <w:color w:val="0000FF"/>
          <w:lang w:eastAsia="zh-CN"/>
        </w:rPr>
        <w:t>。</w:t>
      </w:r>
    </w:p>
    <w:p w14:paraId="459D11E7">
      <w:pPr>
        <w:pStyle w:val="7"/>
        <w:numPr>
          <w:ilvl w:val="0"/>
          <w:numId w:val="4"/>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7</w:t>
      </w:r>
      <w:r>
        <w:rPr>
          <w:rFonts w:hint="eastAsia"/>
          <w:color w:val="0000FF"/>
        </w:rPr>
        <w:t>月</w:t>
      </w:r>
      <w:r>
        <w:rPr>
          <w:rFonts w:hint="eastAsia"/>
          <w:color w:val="0000FF"/>
          <w:lang w:val="en-US" w:eastAsia="zh-CN"/>
        </w:rPr>
        <w:t xml:space="preserve">23 </w:t>
      </w:r>
      <w:r>
        <w:rPr>
          <w:rFonts w:hint="eastAsia"/>
          <w:color w:val="0000FF"/>
        </w:rPr>
        <w:t>日上午</w:t>
      </w:r>
      <w:r>
        <w:rPr>
          <w:color w:val="0000FF"/>
        </w:rPr>
        <w:t>9</w:t>
      </w:r>
      <w:r>
        <w:rPr>
          <w:rFonts w:hint="eastAsia"/>
          <w:color w:val="0000FF"/>
        </w:rPr>
        <w:t>时（若有变动另行通知）</w:t>
      </w:r>
      <w:r>
        <w:rPr>
          <w:rFonts w:hint="eastAsia"/>
        </w:rPr>
        <w:t>。</w:t>
      </w:r>
    </w:p>
    <w:p w14:paraId="6F16C094">
      <w:pPr>
        <w:pStyle w:val="7"/>
        <w:numPr>
          <w:ilvl w:val="0"/>
          <w:numId w:val="4"/>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2BCC9D58">
      <w:pPr>
        <w:pStyle w:val="7"/>
        <w:numPr>
          <w:ilvl w:val="0"/>
          <w:numId w:val="4"/>
        </w:numPr>
        <w:spacing w:line="360" w:lineRule="auto"/>
        <w:ind w:left="425" w:leftChars="0" w:hanging="425" w:firstLineChars="0"/>
        <w:rPr>
          <w:rFonts w:hint="eastAsia" w:eastAsia="宋体"/>
          <w:lang w:eastAsia="zh-CN"/>
        </w:rPr>
      </w:pPr>
      <w:r>
        <w:rPr>
          <w:rFonts w:hint="eastAsia"/>
        </w:rPr>
        <w:t>报名及商务事宜联系人：</w:t>
      </w:r>
    </w:p>
    <w:p w14:paraId="66772D76">
      <w:pPr>
        <w:pStyle w:val="7"/>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6A01369D">
      <w:pPr>
        <w:pStyle w:val="7"/>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21"/>
        <w:numPr>
          <w:ilvl w:val="0"/>
          <w:numId w:val="5"/>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7</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 xml:space="preserve">10 </w:t>
      </w:r>
      <w:r>
        <w:rPr>
          <w:rFonts w:hint="eastAsia" w:ascii="宋体" w:hAnsi="Courier New" w:eastAsia="宋体" w:cs="Times New Roman"/>
          <w:color w:val="0000FF"/>
          <w:kern w:val="2"/>
          <w:sz w:val="21"/>
          <w:lang w:val="en-US" w:eastAsia="zh-CN" w:bidi="ar-SA"/>
        </w:rPr>
        <w:t>日</w:t>
      </w:r>
    </w:p>
    <w:p w14:paraId="04ACA6F8">
      <w:pPr>
        <w:pStyle w:val="21"/>
        <w:numPr>
          <w:ilvl w:val="0"/>
          <w:numId w:val="5"/>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21"/>
        <w:numPr>
          <w:ilvl w:val="0"/>
          <w:numId w:val="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21"/>
        <w:numPr>
          <w:ilvl w:val="0"/>
          <w:numId w:val="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7</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 xml:space="preserve"> 16 </w:t>
      </w:r>
      <w:r>
        <w:rPr>
          <w:rFonts w:hint="eastAsia" w:ascii="宋体" w:hAnsi="Courier New" w:eastAsia="宋体" w:cs="Times New Roman"/>
          <w:color w:val="0000FF"/>
          <w:kern w:val="2"/>
          <w:sz w:val="21"/>
          <w:lang w:val="en-US" w:eastAsia="zh-CN" w:bidi="ar-SA"/>
        </w:rPr>
        <w:t>日17时00分00秒</w:t>
      </w:r>
    </w:p>
    <w:p w14:paraId="2521BCA0">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7"/>
        <w:spacing w:line="360" w:lineRule="auto"/>
        <w:rPr>
          <w:rFonts w:hint="eastAsia" w:ascii="黑体" w:eastAsia="黑体"/>
          <w:b/>
          <w:bCs/>
          <w:sz w:val="28"/>
        </w:rPr>
      </w:pPr>
      <w:r>
        <w:rPr>
          <w:rFonts w:hint="eastAsia" w:ascii="黑体" w:eastAsia="黑体"/>
          <w:b/>
          <w:bCs/>
          <w:sz w:val="28"/>
        </w:rPr>
        <w:t>六、投标须知</w:t>
      </w:r>
    </w:p>
    <w:p w14:paraId="0E6E3488">
      <w:pPr>
        <w:pStyle w:val="7"/>
        <w:spacing w:line="360" w:lineRule="auto"/>
        <w:ind w:firstLine="422" w:firstLineChars="200"/>
        <w:rPr>
          <w:rFonts w:hint="eastAsia"/>
          <w:b/>
        </w:rPr>
      </w:pPr>
      <w:r>
        <w:rPr>
          <w:rFonts w:hint="eastAsia"/>
          <w:b/>
        </w:rPr>
        <w:t>1.合格投标人：</w:t>
      </w:r>
    </w:p>
    <w:p w14:paraId="6964FF6B">
      <w:pPr>
        <w:pStyle w:val="7"/>
        <w:spacing w:line="360" w:lineRule="auto"/>
        <w:ind w:firstLine="420" w:firstLineChars="200"/>
        <w:rPr>
          <w:rFonts w:hint="eastAsia"/>
          <w:b/>
          <w:bCs w:val="0"/>
          <w:color w:val="auto"/>
          <w:highlight w:val="none"/>
          <w:lang w:val="en-US" w:eastAsia="zh-CN"/>
        </w:rPr>
      </w:pPr>
      <w:r>
        <w:rPr>
          <w:rFonts w:hint="eastAsia"/>
          <w:b w:val="0"/>
          <w:bCs/>
          <w:color w:val="auto"/>
        </w:rPr>
        <w:t>1、必</w:t>
      </w:r>
      <w:r>
        <w:rPr>
          <w:rFonts w:hint="eastAsia"/>
          <w:b w:val="0"/>
          <w:bCs/>
          <w:color w:val="auto"/>
          <w:highlight w:val="none"/>
        </w:rPr>
        <w:t>须具有</w:t>
      </w:r>
      <w:r>
        <w:rPr>
          <w:rFonts w:hint="eastAsia"/>
          <w:b/>
          <w:bCs w:val="0"/>
          <w:color w:val="auto"/>
          <w:highlight w:val="none"/>
        </w:rPr>
        <w:t>电气设备维修</w:t>
      </w:r>
      <w:r>
        <w:rPr>
          <w:rFonts w:hint="eastAsia"/>
          <w:b/>
          <w:bCs w:val="0"/>
          <w:color w:val="auto"/>
          <w:highlight w:val="none"/>
          <w:lang w:val="en-US" w:eastAsia="zh-CN"/>
        </w:rPr>
        <w:t>相关营业许可范围。</w:t>
      </w:r>
    </w:p>
    <w:p w14:paraId="3B41468C">
      <w:pPr>
        <w:pStyle w:val="7"/>
        <w:spacing w:line="360" w:lineRule="auto"/>
        <w:ind w:firstLine="420" w:firstLineChars="200"/>
        <w:rPr>
          <w:rFonts w:hint="eastAsia"/>
          <w:b w:val="0"/>
          <w:bCs/>
          <w:color w:val="auto"/>
        </w:rPr>
      </w:pPr>
      <w:r>
        <w:rPr>
          <w:rFonts w:hint="eastAsia"/>
          <w:b w:val="0"/>
          <w:bCs/>
          <w:color w:val="auto"/>
        </w:rPr>
        <w:t>2、公司</w:t>
      </w:r>
      <w:r>
        <w:rPr>
          <w:rFonts w:hint="eastAsia"/>
          <w:b w:val="0"/>
          <w:bCs/>
          <w:color w:val="auto"/>
          <w:lang w:val="en-US" w:eastAsia="zh-CN"/>
        </w:rPr>
        <w:t>成立三年以上</w:t>
      </w:r>
      <w:r>
        <w:rPr>
          <w:rFonts w:hint="eastAsia"/>
          <w:b w:val="0"/>
          <w:bCs/>
          <w:color w:val="auto"/>
        </w:rPr>
        <w:t>（以营业执照成立日期到开标当日满三年为准）</w:t>
      </w:r>
      <w:r>
        <w:rPr>
          <w:rFonts w:hint="eastAsia"/>
          <w:b w:val="0"/>
          <w:bCs/>
          <w:color w:val="auto"/>
          <w:lang w:eastAsia="zh-CN"/>
        </w:rPr>
        <w:t>，</w:t>
      </w:r>
      <w:r>
        <w:rPr>
          <w:rFonts w:hint="eastAsia"/>
          <w:b w:val="0"/>
          <w:bCs/>
          <w:color w:val="auto"/>
          <w:lang w:val="en-US" w:eastAsia="zh-CN"/>
        </w:rPr>
        <w:t>且</w:t>
      </w:r>
      <w:r>
        <w:rPr>
          <w:rFonts w:hint="eastAsia"/>
          <w:b w:val="0"/>
          <w:bCs/>
          <w:color w:val="auto"/>
        </w:rPr>
        <w:t>注册资本不少于</w:t>
      </w:r>
      <w:r>
        <w:rPr>
          <w:rFonts w:hint="eastAsia"/>
          <w:b w:val="0"/>
          <w:bCs/>
          <w:color w:val="auto"/>
          <w:lang w:val="en-US" w:eastAsia="zh-CN"/>
        </w:rPr>
        <w:t>伍</w:t>
      </w:r>
      <w:r>
        <w:rPr>
          <w:rFonts w:hint="eastAsia"/>
          <w:b w:val="0"/>
          <w:bCs/>
          <w:color w:val="auto"/>
        </w:rPr>
        <w:t>佰万元（人民币）。</w:t>
      </w:r>
    </w:p>
    <w:p w14:paraId="38596529">
      <w:pPr>
        <w:pStyle w:val="7"/>
        <w:spacing w:line="360" w:lineRule="auto"/>
        <w:ind w:firstLine="420" w:firstLineChars="200"/>
        <w:rPr>
          <w:rFonts w:hint="eastAsia"/>
          <w:b w:val="0"/>
          <w:bCs/>
          <w:color w:val="auto"/>
        </w:rPr>
      </w:pPr>
      <w:r>
        <w:rPr>
          <w:rFonts w:hint="eastAsia"/>
          <w:b w:val="0"/>
          <w:bCs/>
          <w:color w:val="auto"/>
        </w:rPr>
        <w:t>3、</w:t>
      </w:r>
      <w:r>
        <w:rPr>
          <w:rFonts w:hint="default" w:ascii="Segoe UI" w:hAnsi="Segoe UI" w:eastAsia="Segoe UI" w:cs="Segoe UI"/>
          <w:i w:val="0"/>
          <w:iCs w:val="0"/>
          <w:caps w:val="0"/>
          <w:color w:val="auto"/>
          <w:spacing w:val="0"/>
          <w:sz w:val="21"/>
          <w:szCs w:val="21"/>
        </w:rPr>
        <w:t>满足技术、质量、资金等要求，</w:t>
      </w:r>
      <w:r>
        <w:rPr>
          <w:rFonts w:hint="eastAsia"/>
          <w:b w:val="0"/>
          <w:bCs/>
          <w:color w:val="auto"/>
        </w:rPr>
        <w:t>公司财务良好，经营稳定，有全面履约的能力</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能提供相关信用等级和完税证明</w:t>
      </w:r>
      <w:r>
        <w:rPr>
          <w:rFonts w:hint="eastAsia"/>
          <w:b w:val="0"/>
          <w:bCs/>
          <w:color w:val="auto"/>
        </w:rPr>
        <w:t>。</w:t>
      </w:r>
    </w:p>
    <w:p w14:paraId="561015B4">
      <w:pPr>
        <w:pStyle w:val="7"/>
        <w:spacing w:line="360" w:lineRule="auto"/>
        <w:ind w:firstLine="420" w:firstLineChars="200"/>
        <w:rPr>
          <w:rFonts w:hint="eastAsia"/>
          <w:b w:val="0"/>
          <w:bCs/>
          <w:color w:val="auto"/>
        </w:rPr>
      </w:pPr>
      <w:r>
        <w:rPr>
          <w:rFonts w:hint="eastAsia"/>
          <w:b w:val="0"/>
          <w:bCs/>
          <w:color w:val="auto"/>
        </w:rPr>
        <w:t>4、投标单位之间必须具有充分的竞争关系。</w:t>
      </w:r>
    </w:p>
    <w:p w14:paraId="19794244">
      <w:pPr>
        <w:pStyle w:val="7"/>
        <w:spacing w:line="360" w:lineRule="auto"/>
        <w:ind w:firstLine="420" w:firstLineChars="200"/>
        <w:rPr>
          <w:rFonts w:hint="eastAsia"/>
          <w:b w:val="0"/>
          <w:bCs/>
          <w:color w:val="auto"/>
        </w:rPr>
      </w:pPr>
      <w:r>
        <w:rPr>
          <w:rFonts w:hint="eastAsia"/>
          <w:b w:val="0"/>
          <w:bCs/>
          <w:color w:val="auto"/>
          <w:lang w:val="en-US" w:eastAsia="zh-CN"/>
        </w:rPr>
        <w:t>5、</w:t>
      </w:r>
      <w:r>
        <w:rPr>
          <w:rFonts w:hint="eastAsia"/>
          <w:b w:val="0"/>
          <w:bCs/>
          <w:color w:val="auto"/>
        </w:rPr>
        <w:t>投标单位未在“信用中国”网站（www.creditchina.gov.cn）或各级信用信息共享平台列入失信被执行人名单</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无行政处罚及失信记录等信息</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信用信息共享平台包括但不限于“国家企业信用信息公示系统”、“中国执行信息公开网”、“天眼查”“裁判文书网”等信息平台。</w:t>
      </w:r>
    </w:p>
    <w:p w14:paraId="28844390">
      <w:pPr>
        <w:pStyle w:val="7"/>
        <w:spacing w:line="360" w:lineRule="auto"/>
        <w:ind w:left="420" w:leftChars="200" w:firstLine="0" w:firstLineChars="0"/>
        <w:rPr>
          <w:rFonts w:hint="eastAsia"/>
          <w:b w:val="0"/>
          <w:bCs/>
          <w:color w:val="auto"/>
        </w:rPr>
      </w:pPr>
      <w:r>
        <w:rPr>
          <w:rFonts w:hint="eastAsia"/>
          <w:b w:val="0"/>
          <w:bCs/>
          <w:color w:val="auto"/>
          <w:lang w:val="en-US" w:eastAsia="zh-CN"/>
        </w:rPr>
        <w:t>6、</w:t>
      </w:r>
      <w:r>
        <w:rPr>
          <w:rFonts w:hint="default" w:ascii="Segoe UI" w:hAnsi="Segoe UI" w:eastAsia="Segoe UI" w:cs="Segoe UI"/>
          <w:i w:val="0"/>
          <w:iCs w:val="0"/>
          <w:caps w:val="0"/>
          <w:color w:val="auto"/>
          <w:spacing w:val="0"/>
          <w:sz w:val="21"/>
          <w:szCs w:val="21"/>
        </w:rPr>
        <w:t>没有被公司列入黑名单</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在社会上和重汽集团内的其它招标过程中没有不良行为记录</w:t>
      </w:r>
      <w:r>
        <w:rPr>
          <w:rFonts w:hint="eastAsia"/>
          <w:b w:val="0"/>
          <w:bCs/>
          <w:color w:val="auto"/>
          <w:lang w:eastAsia="zh-CN"/>
        </w:rPr>
        <w:t>。</w:t>
      </w:r>
      <w:r>
        <w:rPr>
          <w:rFonts w:hint="eastAsia"/>
          <w:b w:val="0"/>
          <w:bCs/>
          <w:color w:val="auto"/>
        </w:rPr>
        <w:br w:type="textWrapping"/>
      </w:r>
      <w:r>
        <w:rPr>
          <w:rFonts w:hint="eastAsia"/>
          <w:b w:val="0"/>
          <w:bCs/>
          <w:color w:val="auto"/>
          <w:lang w:val="en-US" w:eastAsia="zh-CN"/>
        </w:rPr>
        <w:t>7、</w:t>
      </w:r>
      <w:r>
        <w:rPr>
          <w:rFonts w:hint="eastAsia"/>
          <w:b w:val="0"/>
          <w:bCs/>
          <w:color w:val="auto"/>
        </w:rPr>
        <w:t>投标单位的直接或间接股东、法定代表人、董事、监事、高管非重汽员工及其亲属。</w:t>
      </w:r>
    </w:p>
    <w:p w14:paraId="67C64CB0">
      <w:pPr>
        <w:pStyle w:val="7"/>
        <w:spacing w:line="360" w:lineRule="auto"/>
        <w:ind w:left="420" w:leftChars="200" w:firstLine="0" w:firstLineChars="0"/>
        <w:rPr>
          <w:rFonts w:hint="eastAsia"/>
          <w:b w:val="0"/>
          <w:bCs/>
          <w:color w:val="auto"/>
        </w:rPr>
      </w:pPr>
      <w:r>
        <w:rPr>
          <w:rFonts w:hint="eastAsia"/>
          <w:b w:val="0"/>
          <w:bCs/>
          <w:color w:val="auto"/>
          <w:lang w:val="en-US" w:eastAsia="zh-CN"/>
        </w:rPr>
        <w:t>8</w:t>
      </w:r>
      <w:r>
        <w:rPr>
          <w:rFonts w:hint="eastAsia"/>
          <w:b w:val="0"/>
          <w:bCs/>
          <w:color w:val="auto"/>
        </w:rPr>
        <w:t>、</w:t>
      </w:r>
      <w:r>
        <w:rPr>
          <w:rFonts w:hint="default" w:ascii="Segoe UI" w:hAnsi="Segoe UI" w:eastAsia="Segoe UI" w:cs="Segoe UI"/>
          <w:i w:val="0"/>
          <w:iCs w:val="0"/>
          <w:caps w:val="0"/>
          <w:color w:val="auto"/>
          <w:spacing w:val="0"/>
          <w:sz w:val="21"/>
          <w:szCs w:val="21"/>
        </w:rPr>
        <w:t>如</w:t>
      </w:r>
      <w:r>
        <w:rPr>
          <w:rFonts w:hint="eastAsia" w:ascii="Segoe UI" w:hAnsi="Segoe UI" w:eastAsia="宋体" w:cs="Segoe UI"/>
          <w:i w:val="0"/>
          <w:iCs w:val="0"/>
          <w:caps w:val="0"/>
          <w:color w:val="auto"/>
          <w:spacing w:val="0"/>
          <w:sz w:val="21"/>
          <w:szCs w:val="21"/>
          <w:lang w:val="en-US" w:eastAsia="zh-CN"/>
        </w:rPr>
        <w:t>投标单位</w:t>
      </w:r>
      <w:r>
        <w:rPr>
          <w:rFonts w:hint="default" w:ascii="Segoe UI" w:hAnsi="Segoe UI" w:eastAsia="Segoe UI" w:cs="Segoe UI"/>
          <w:i w:val="0"/>
          <w:iCs w:val="0"/>
          <w:caps w:val="0"/>
          <w:color w:val="auto"/>
          <w:spacing w:val="0"/>
          <w:sz w:val="21"/>
          <w:szCs w:val="21"/>
        </w:rPr>
        <w:t>因特殊原因不能提供审计报告或财务报表的，须提供加盖公章的情况说明。</w:t>
      </w:r>
      <w:r>
        <w:rPr>
          <w:rFonts w:hint="default" w:ascii="Segoe UI" w:hAnsi="Segoe UI" w:eastAsia="Segoe UI" w:cs="Segoe UI"/>
          <w:i w:val="0"/>
          <w:iCs w:val="0"/>
          <w:caps w:val="0"/>
          <w:color w:val="auto"/>
          <w:spacing w:val="0"/>
          <w:sz w:val="21"/>
          <w:szCs w:val="21"/>
        </w:rPr>
        <w:br w:type="textWrapping"/>
      </w:r>
      <w:r>
        <w:rPr>
          <w:rFonts w:hint="eastAsia"/>
          <w:b w:val="0"/>
          <w:bCs/>
          <w:color w:val="auto"/>
          <w:lang w:val="en-US" w:eastAsia="zh-CN"/>
        </w:rPr>
        <w:t>9、</w:t>
      </w:r>
      <w:r>
        <w:rPr>
          <w:rFonts w:hint="eastAsia"/>
          <w:b w:val="0"/>
          <w:bCs/>
          <w:color w:val="auto"/>
        </w:rPr>
        <w:t>不接受联合体投标。</w:t>
      </w:r>
    </w:p>
    <w:p w14:paraId="45A44FDB">
      <w:pPr>
        <w:pStyle w:val="7"/>
        <w:spacing w:line="360" w:lineRule="auto"/>
        <w:ind w:firstLine="420" w:firstLineChars="200"/>
        <w:rPr>
          <w:rFonts w:hint="eastAsia"/>
          <w:b w:val="0"/>
          <w:bCs/>
          <w:color w:val="auto"/>
        </w:rPr>
      </w:pPr>
      <w:r>
        <w:rPr>
          <w:rFonts w:hint="eastAsia"/>
          <w:b w:val="0"/>
          <w:bCs/>
          <w:color w:val="auto"/>
        </w:rPr>
        <w:t>10、必须具有</w:t>
      </w:r>
      <w:r>
        <w:rPr>
          <w:rFonts w:hint="eastAsia"/>
          <w:b w:val="0"/>
          <w:bCs/>
          <w:color w:val="auto"/>
          <w:lang w:val="en-US" w:eastAsia="zh-CN"/>
        </w:rPr>
        <w:t>2</w:t>
      </w:r>
      <w:r>
        <w:rPr>
          <w:rFonts w:hint="eastAsia"/>
          <w:b w:val="0"/>
          <w:bCs/>
          <w:color w:val="auto"/>
        </w:rPr>
        <w:t>年以上相关工作经历和成功的类似案例。</w:t>
      </w:r>
    </w:p>
    <w:p w14:paraId="20127950">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firstLine="0" w:firstLineChars="0"/>
        <w:textAlignment w:val="auto"/>
        <w:rPr>
          <w:rFonts w:hint="eastAsia" w:hAnsi="宋体" w:cs="宋体"/>
          <w:b w:val="0"/>
          <w:bCs w:val="0"/>
          <w:strike w:val="0"/>
          <w:dstrike w:val="0"/>
          <w:color w:val="auto"/>
          <w:sz w:val="21"/>
          <w:szCs w:val="21"/>
          <w:highlight w:val="none"/>
          <w:lang w:val="en-US" w:eastAsia="zh-CN"/>
        </w:rPr>
      </w:pPr>
      <w:r>
        <w:rPr>
          <w:rFonts w:hint="eastAsia"/>
          <w:b w:val="0"/>
          <w:bCs/>
          <w:color w:val="auto"/>
          <w:lang w:val="en-US" w:eastAsia="zh-CN"/>
        </w:rPr>
        <w:t>11、</w:t>
      </w:r>
      <w:r>
        <w:rPr>
          <w:rFonts w:hint="eastAsia" w:hAnsi="宋体" w:cs="宋体"/>
          <w:b w:val="0"/>
          <w:bCs w:val="0"/>
          <w:strike w:val="0"/>
          <w:dstrike w:val="0"/>
          <w:color w:val="auto"/>
          <w:sz w:val="21"/>
          <w:szCs w:val="21"/>
          <w:highlight w:val="none"/>
          <w:lang w:val="en-US" w:eastAsia="zh-CN"/>
        </w:rPr>
        <w:t>其他注意事项：</w:t>
      </w:r>
    </w:p>
    <w:p w14:paraId="0FA88137">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strike w:val="0"/>
          <w:dstrike w:val="0"/>
          <w:color w:val="auto"/>
          <w:sz w:val="21"/>
          <w:szCs w:val="21"/>
          <w:highlight w:val="none"/>
          <w:lang w:val="en-US" w:eastAsia="zh-CN"/>
        </w:rPr>
      </w:pPr>
      <w:r>
        <w:rPr>
          <w:rFonts w:hint="eastAsia" w:ascii="宋体" w:hAnsi="宋体" w:eastAsia="宋体" w:cs="宋体"/>
          <w:b w:val="0"/>
          <w:bCs w:val="0"/>
          <w:strike w:val="0"/>
          <w:dstrike w:val="0"/>
          <w:color w:val="auto"/>
          <w:sz w:val="21"/>
          <w:szCs w:val="21"/>
          <w:highlight w:val="none"/>
          <w:lang w:val="en-US" w:eastAsia="zh-CN"/>
        </w:rPr>
        <w:t>（1）应签订“安全协议书”明确双方安全责任与义务；严禁拍照；</w:t>
      </w:r>
    </w:p>
    <w:p w14:paraId="3A967F82">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b w:val="0"/>
          <w:bCs w:val="0"/>
          <w:strike w:val="0"/>
          <w:dstrike w:val="0"/>
          <w:color w:val="auto"/>
          <w:sz w:val="21"/>
          <w:szCs w:val="21"/>
          <w:highlight w:val="none"/>
          <w:lang w:val="en-US"/>
        </w:rPr>
      </w:pPr>
      <w:r>
        <w:rPr>
          <w:rFonts w:hint="eastAsia" w:ascii="宋体" w:hAnsi="宋体" w:eastAsia="宋体" w:cs="宋体"/>
          <w:b w:val="0"/>
          <w:bCs w:val="0"/>
          <w:strike w:val="0"/>
          <w:dstrike w:val="0"/>
          <w:color w:val="auto"/>
          <w:sz w:val="21"/>
          <w:szCs w:val="21"/>
          <w:highlight w:val="none"/>
          <w:lang w:val="en-US" w:eastAsia="zh-CN"/>
        </w:rPr>
        <w:t>（2）维修队伍中主要作业人员必须具有合规的特种作业人员证；危险作业（登高、动火、临时线等）应经审批后实施。</w:t>
      </w:r>
    </w:p>
    <w:p w14:paraId="1DB4162C">
      <w:pPr>
        <w:pStyle w:val="5"/>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kern w:val="2"/>
          <w:sz w:val="21"/>
          <w:lang w:val="en-US" w:eastAsia="zh-CN" w:bidi="ar-SA"/>
        </w:rPr>
      </w:pPr>
      <w:r>
        <w:rPr>
          <w:rFonts w:hint="eastAsia" w:ascii="宋体" w:hAnsi="宋体" w:eastAsia="宋体" w:cs="宋体"/>
          <w:b w:val="0"/>
          <w:bCs w:val="0"/>
          <w:strike w:val="0"/>
          <w:dstrike w:val="0"/>
          <w:color w:val="auto"/>
          <w:sz w:val="21"/>
          <w:szCs w:val="21"/>
          <w:highlight w:val="none"/>
          <w:lang w:val="en-US" w:eastAsia="zh-CN"/>
        </w:rPr>
        <w:t>（3）</w:t>
      </w:r>
      <w:r>
        <w:rPr>
          <w:rFonts w:hint="eastAsia" w:ascii="宋体" w:hAnsi="宋体" w:eastAsia="宋体" w:cs="宋体"/>
          <w:color w:val="auto"/>
          <w:kern w:val="2"/>
          <w:sz w:val="21"/>
          <w:lang w:val="en-US" w:eastAsia="zh-CN" w:bidi="ar-SA"/>
        </w:rPr>
        <w:t>本项目严禁转包行为，如发现转包行为，招标人可终止合同，投标方将承担一切损失及相关法律责任。</w:t>
      </w:r>
    </w:p>
    <w:p w14:paraId="1B2DDCC4">
      <w:pPr>
        <w:pStyle w:val="5"/>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kern w:val="2"/>
          <w:sz w:val="21"/>
          <w:szCs w:val="20"/>
          <w:lang w:val="en-US" w:eastAsia="zh-CN" w:bidi="ar-SA"/>
        </w:rPr>
      </w:pPr>
      <w:r>
        <w:rPr>
          <w:rFonts w:hint="eastAsia" w:ascii="宋体" w:hAnsi="宋体" w:eastAsia="宋体" w:cs="宋体"/>
          <w:color w:val="auto"/>
          <w:kern w:val="2"/>
          <w:sz w:val="21"/>
          <w:szCs w:val="20"/>
          <w:lang w:val="en-US" w:eastAsia="zh-CN" w:bidi="ar-SA"/>
        </w:rPr>
        <w:t>（4）严格限制分包。中标后不准分包，否则招标人可终止合同，投标方将承担一切损失及相关法律责任。</w:t>
      </w:r>
    </w:p>
    <w:p w14:paraId="67FCE54A">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eastAsia="宋体"/>
          <w:color w:val="auto"/>
          <w:sz w:val="21"/>
          <w:szCs w:val="21"/>
          <w:lang w:eastAsia="zh-CN"/>
        </w:rPr>
      </w:pPr>
      <w:r>
        <w:rPr>
          <w:rFonts w:hint="eastAsia"/>
          <w:sz w:val="21"/>
          <w:szCs w:val="21"/>
          <w:lang w:val="en-US" w:eastAsia="zh-CN"/>
        </w:rPr>
        <w:t>（5）</w:t>
      </w:r>
      <w:r>
        <w:rPr>
          <w:rFonts w:hint="eastAsia"/>
          <w:sz w:val="21"/>
          <w:szCs w:val="21"/>
        </w:rPr>
        <w:t>投标方</w:t>
      </w:r>
      <w:r>
        <w:rPr>
          <w:rFonts w:hint="eastAsia"/>
          <w:sz w:val="21"/>
          <w:szCs w:val="21"/>
          <w:lang w:val="en-US" w:eastAsia="zh-CN"/>
        </w:rPr>
        <w:t>需</w:t>
      </w:r>
      <w:r>
        <w:rPr>
          <w:rFonts w:hint="eastAsia"/>
          <w:sz w:val="21"/>
          <w:szCs w:val="21"/>
        </w:rPr>
        <w:t>对项目现场和周边环境进行现场考察，以获取与本维修项目投标有关所有资料。考察现场的费用由投标方自己承担；勘察期间所发生的人身伤害及财产损失由投标方自己负责。</w:t>
      </w:r>
    </w:p>
    <w:p w14:paraId="7A9C580B">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s="Times New Roman"/>
          <w:b w:val="0"/>
          <w:bCs w:val="0"/>
          <w:strike w:val="0"/>
          <w:dstrike w:val="0"/>
          <w:color w:val="auto"/>
          <w:sz w:val="21"/>
          <w:szCs w:val="21"/>
          <w:highlight w:val="none"/>
          <w:lang w:val="en-US" w:eastAsia="zh-CN"/>
        </w:rPr>
      </w:pPr>
      <w:r>
        <w:rPr>
          <w:rFonts w:hint="eastAsia"/>
          <w:b w:val="0"/>
          <w:bCs w:val="0"/>
          <w:strike w:val="0"/>
          <w:dstrike w:val="0"/>
          <w:color w:val="auto"/>
          <w:sz w:val="21"/>
          <w:szCs w:val="21"/>
          <w:highlight w:val="none"/>
          <w:lang w:val="en-US" w:eastAsia="zh-CN"/>
        </w:rPr>
        <w:t>（6）投标人</w:t>
      </w:r>
      <w:r>
        <w:rPr>
          <w:rFonts w:hint="eastAsia"/>
          <w:b w:val="0"/>
          <w:bCs w:val="0"/>
          <w:strike w:val="0"/>
          <w:dstrike w:val="0"/>
          <w:color w:val="auto"/>
          <w:sz w:val="21"/>
          <w:szCs w:val="21"/>
          <w:highlight w:val="none"/>
        </w:rPr>
        <w:t>是招标货物的制造商或制造商授权的经销商；一个制造商对同一品牌同一型号的货物,仅能委托一个代理商参加投标</w:t>
      </w:r>
      <w:r>
        <w:rPr>
          <w:rFonts w:hint="eastAsia"/>
          <w:b w:val="0"/>
          <w:bCs w:val="0"/>
          <w:strike w:val="0"/>
          <w:dstrike w:val="0"/>
          <w:color w:val="auto"/>
          <w:sz w:val="21"/>
          <w:szCs w:val="21"/>
          <w:highlight w:val="none"/>
          <w:lang w:eastAsia="zh-CN"/>
        </w:rPr>
        <w:t>。</w:t>
      </w:r>
      <w:r>
        <w:rPr>
          <w:rFonts w:hint="eastAsia"/>
          <w:b w:val="0"/>
          <w:bCs w:val="0"/>
          <w:color w:val="auto"/>
          <w:sz w:val="21"/>
          <w:szCs w:val="21"/>
        </w:rPr>
        <w:t>如为代理商投标，需获得生产厂家正式授权，提供授权书原件，保证提供原厂售后服务并提供原厂售后服务承诺书原件</w:t>
      </w:r>
      <w:r>
        <w:rPr>
          <w:rFonts w:hint="eastAsia"/>
          <w:b w:val="0"/>
          <w:bCs w:val="0"/>
          <w:color w:val="auto"/>
          <w:sz w:val="21"/>
          <w:szCs w:val="21"/>
          <w:lang w:eastAsia="zh-CN"/>
        </w:rPr>
        <w:t>。</w:t>
      </w:r>
    </w:p>
    <w:p w14:paraId="649CDDCA">
      <w:pPr>
        <w:pStyle w:val="7"/>
        <w:spacing w:line="360" w:lineRule="auto"/>
        <w:ind w:firstLine="422" w:firstLineChars="200"/>
        <w:rPr>
          <w:rFonts w:hint="eastAsia"/>
          <w:b/>
        </w:rPr>
      </w:pPr>
      <w:r>
        <w:rPr>
          <w:rFonts w:hint="eastAsia"/>
          <w:b/>
        </w:rPr>
        <w:t>2.投标文件格式</w:t>
      </w:r>
    </w:p>
    <w:p w14:paraId="64A790F7">
      <w:pPr>
        <w:pStyle w:val="7"/>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w:t>
      </w:r>
    </w:p>
    <w:p w14:paraId="66CC37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3C17862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cs="Times New Roman"/>
          <w:color w:val="0000FF"/>
          <w:kern w:val="2"/>
          <w:sz w:val="21"/>
          <w:lang w:val="en-US" w:eastAsia="zh-CN" w:bidi="ar-SA"/>
        </w:rPr>
        <w:t>2023</w:t>
      </w:r>
      <w:r>
        <w:rPr>
          <w:rFonts w:hint="eastAsia" w:ascii="宋体" w:hAnsi="Courier New" w:eastAsia="宋体" w:cs="Times New Roman"/>
          <w:color w:val="0000FF"/>
          <w:kern w:val="2"/>
          <w:sz w:val="21"/>
          <w:lang w:val="en-US" w:eastAsia="zh-CN" w:bidi="ar-SA"/>
        </w:rPr>
        <w:t>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51409FC7">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455DE49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002A32EA">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09F8F44">
      <w:pPr>
        <w:pStyle w:val="7"/>
        <w:spacing w:line="360" w:lineRule="auto"/>
        <w:ind w:firstLine="422" w:firstLineChars="200"/>
        <w:rPr>
          <w:rFonts w:hint="eastAsia"/>
          <w:b/>
        </w:rPr>
      </w:pPr>
      <w:r>
        <w:rPr>
          <w:rFonts w:hint="eastAsia"/>
          <w:b/>
          <w:lang w:val="en-US" w:eastAsia="zh-CN"/>
        </w:rPr>
        <w:t>（3）</w:t>
      </w:r>
      <w:r>
        <w:rPr>
          <w:rFonts w:hint="eastAsia"/>
          <w:b/>
        </w:rPr>
        <w:t>商务标</w:t>
      </w:r>
    </w:p>
    <w:p w14:paraId="4F5BA4F9">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01B22EC5">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36F12D36">
      <w:pPr>
        <w:pStyle w:val="7"/>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5645C824">
      <w:pPr>
        <w:pStyle w:val="7"/>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7"/>
        <w:spacing w:line="360" w:lineRule="auto"/>
        <w:ind w:firstLine="420" w:firstLineChars="200"/>
        <w:rPr>
          <w:rFonts w:hint="eastAsia" w:eastAsia="宋体"/>
          <w:lang w:eastAsia="zh-CN"/>
        </w:rPr>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r>
        <w:rPr>
          <w:rFonts w:hint="eastAsia"/>
          <w:lang w:eastAsia="zh-CN"/>
        </w:rPr>
        <w:t>。</w:t>
      </w:r>
    </w:p>
    <w:p w14:paraId="462EAF85">
      <w:pPr>
        <w:pStyle w:val="7"/>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⑸投标价格含合同签订的现场勘查、</w:t>
      </w:r>
      <w:r>
        <w:rPr>
          <w:rFonts w:hint="eastAsia" w:hAnsi="宋体"/>
          <w:highlight w:val="none"/>
          <w:lang w:val="en-US" w:eastAsia="zh-CN"/>
        </w:rPr>
        <w:t>材料供货、安装施工、验收等</w:t>
      </w:r>
      <w:r>
        <w:rPr>
          <w:rFonts w:hint="eastAsia" w:hAnsi="宋体"/>
          <w:highlight w:val="none"/>
        </w:rPr>
        <w:t>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7"/>
        <w:numPr>
          <w:ilvl w:val="0"/>
          <w:numId w:val="0"/>
        </w:numPr>
        <w:spacing w:line="360" w:lineRule="auto"/>
        <w:ind w:left="420" w:leftChars="200" w:firstLine="0" w:firstLineChars="0"/>
        <w:rPr>
          <w:rFonts w:hint="eastAsia" w:ascii="Calibri" w:hAnsi="Calibri"/>
          <w:highlight w:val="none"/>
        </w:rPr>
      </w:pP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kern w:val="2"/>
          <w:sz w:val="21"/>
          <w:highlight w:val="none"/>
          <w:u w:val="single"/>
          <w:lang w:val="en-US" w:eastAsia="zh-CN" w:bidi="ar-SA"/>
        </w:rPr>
        <w:t>招标确定固定</w:t>
      </w:r>
      <w:r>
        <w:rPr>
          <w:rFonts w:hint="eastAsia" w:ascii="Times New Roman" w:hAnsi="宋体" w:cs="Times New Roman"/>
          <w:kern w:val="2"/>
          <w:sz w:val="21"/>
          <w:highlight w:val="none"/>
          <w:u w:val="single"/>
          <w:lang w:val="en-US" w:eastAsia="zh-CN" w:bidi="ar-SA"/>
        </w:rPr>
        <w:t>单价，据实结算</w:t>
      </w:r>
      <w:r>
        <w:rPr>
          <w:rFonts w:hint="eastAsia" w:ascii="Times New Roman" w:hAnsi="宋体" w:eastAsia="宋体" w:cs="Times New Roman"/>
          <w:kern w:val="2"/>
          <w:sz w:val="21"/>
          <w:highlight w:val="none"/>
          <w:u w:val="single"/>
          <w:lang w:val="en-US" w:eastAsia="zh-CN" w:bidi="ar-SA"/>
        </w:rPr>
        <w:t>。</w:t>
      </w:r>
      <w:r>
        <w:rPr>
          <w:rFonts w:hint="eastAsia" w:ascii="Times New Roman" w:hAnsi="宋体" w:eastAsia="宋体" w:cs="Times New Roman"/>
          <w:kern w:val="2"/>
          <w:sz w:val="21"/>
          <w:highlight w:val="none"/>
          <w:u w:val="single"/>
          <w:lang w:val="en-US" w:eastAsia="zh-CN" w:bidi="ar-SA"/>
        </w:rPr>
        <w:br w:type="textWrapping"/>
      </w:r>
      <w:r>
        <w:rPr>
          <w:rFonts w:hint="eastAsia"/>
          <w:b/>
          <w:highlight w:val="none"/>
        </w:rPr>
        <w:t>付款方式：</w:t>
      </w:r>
      <w:r>
        <w:rPr>
          <w:rFonts w:hint="eastAsia"/>
          <w:b/>
          <w:bCs/>
          <w:highlight w:val="none"/>
          <w:u w:val="single"/>
        </w:rPr>
        <w:t>验收款90%，质保金10%</w:t>
      </w:r>
      <w:r>
        <w:rPr>
          <w:rFonts w:hint="eastAsia" w:ascii="Calibri" w:hAnsi="Calibri"/>
          <w:bCs/>
          <w:highlight w:val="none"/>
        </w:rPr>
        <w:t>，具体以</w:t>
      </w:r>
      <w:r>
        <w:rPr>
          <w:rFonts w:hint="eastAsia" w:ascii="Calibri" w:hAnsi="Calibri"/>
          <w:highlight w:val="none"/>
        </w:rPr>
        <w:t>双方最终签署的合同为准。</w:t>
      </w:r>
    </w:p>
    <w:p w14:paraId="18001194">
      <w:pPr>
        <w:spacing w:line="360" w:lineRule="auto"/>
        <w:ind w:firstLine="422" w:firstLineChars="200"/>
        <w:rPr>
          <w:rFonts w:hint="eastAsia" w:ascii="Times New Roman" w:hAnsi="宋体" w:eastAsia="宋体" w:cs="Times New Roman"/>
          <w:highlight w:val="yellow"/>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46A17E17">
      <w:pPr>
        <w:pStyle w:val="7"/>
        <w:numPr>
          <w:ilvl w:val="0"/>
          <w:numId w:val="6"/>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35B3136A">
      <w:pPr>
        <w:pStyle w:val="7"/>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式采用电子化线上/现场投标，投标方应登录中国重汽e采通上传投标文件，投标文件应编制目录并逐页编码，扫描为清晰的PDF格式的电子版文件（签字并加盖公司红章）。</w:t>
      </w:r>
    </w:p>
    <w:p w14:paraId="12461BB1">
      <w:pPr>
        <w:pStyle w:val="7"/>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5B2DF202">
      <w:pPr>
        <w:pStyle w:val="7"/>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70A4600">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297E3BE1">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088FE374">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3A3A4146">
      <w:pPr>
        <w:pStyle w:val="7"/>
        <w:spacing w:line="360" w:lineRule="auto"/>
        <w:rPr>
          <w:rFonts w:hint="eastAsia" w:ascii="黑体" w:eastAsia="黑体"/>
          <w:b/>
          <w:bCs/>
          <w:sz w:val="28"/>
        </w:rPr>
      </w:pPr>
      <w:r>
        <w:rPr>
          <w:rFonts w:hint="eastAsia" w:ascii="黑体" w:eastAsia="黑体"/>
          <w:b/>
          <w:bCs/>
          <w:sz w:val="28"/>
        </w:rPr>
        <w:t>七、投标、开标、评标</w:t>
      </w:r>
    </w:p>
    <w:p w14:paraId="0319ECED">
      <w:pPr>
        <w:pStyle w:val="7"/>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1DCCFBF5">
      <w:pPr>
        <w:pStyle w:val="7"/>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、《投标文件（技术标）》、《投标文件（商务标）》（开标一览表），共计三个文件。</w:t>
      </w:r>
    </w:p>
    <w:p w14:paraId="787A8B94">
      <w:pPr>
        <w:pStyle w:val="7"/>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2D4BBE43">
      <w:pPr>
        <w:pStyle w:val="7"/>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713F6B6">
      <w:pPr>
        <w:pStyle w:val="7"/>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4A5A31C8">
      <w:pPr>
        <w:pStyle w:val="7"/>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0843B74B">
      <w:pPr>
        <w:pStyle w:val="7"/>
        <w:spacing w:line="360" w:lineRule="auto"/>
        <w:ind w:firstLine="422" w:firstLineChars="200"/>
        <w:rPr>
          <w:rFonts w:hint="eastAsia"/>
          <w:b/>
          <w:bCs/>
          <w:lang w:val="en-US" w:eastAsia="zh-CN"/>
        </w:rPr>
      </w:pPr>
      <w:r>
        <w:rPr>
          <w:rFonts w:hint="eastAsia"/>
          <w:b/>
          <w:bCs/>
          <w:lang w:val="en-US" w:eastAsia="zh-CN"/>
        </w:rPr>
        <w:t>2、投标</w:t>
      </w:r>
    </w:p>
    <w:p w14:paraId="2E874178">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6FA5AF67">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71616115">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3AB2C4F6">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54EB3E80">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c)企业资质等级证书及与项目有关资质证明（如有，请提供）</w:t>
      </w:r>
    </w:p>
    <w:p w14:paraId="0BF8FAD8">
      <w:pPr>
        <w:spacing w:line="360" w:lineRule="auto"/>
        <w:rPr>
          <w:rFonts w:hint="eastAsia" w:ascii="宋体" w:hAnsi="宋体" w:eastAsia="宋体" w:cs="宋体"/>
          <w:lang w:val="en-US" w:eastAsia="zh-CN"/>
        </w:rPr>
      </w:pPr>
      <w:r>
        <w:rPr>
          <w:rFonts w:hint="eastAsia" w:ascii="宋体" w:hAnsi="宋体" w:eastAsia="宋体" w:cs="宋体"/>
          <w:lang w:val="en-US" w:eastAsia="zh-CN"/>
        </w:rPr>
        <w:t>e)安全资格证（如有，请提供），施工人员的相关证明材料及操作证。</w:t>
      </w:r>
    </w:p>
    <w:p w14:paraId="12C17A1D">
      <w:pPr>
        <w:spacing w:line="360" w:lineRule="auto"/>
        <w:rPr>
          <w:rFonts w:hint="eastAsia" w:ascii="宋体" w:hAnsi="宋体" w:eastAsia="宋体" w:cs="宋体"/>
          <w:lang w:val="en-US" w:eastAsia="zh-CN"/>
        </w:rPr>
      </w:pPr>
      <w:r>
        <w:rPr>
          <w:rFonts w:hint="eastAsia" w:ascii="宋体" w:hAnsi="宋体" w:eastAsia="宋体" w:cs="宋体"/>
          <w:lang w:val="en-US" w:eastAsia="zh-CN"/>
        </w:rPr>
        <w:t>d)提供投标人基本付款信息</w:t>
      </w:r>
    </w:p>
    <w:p w14:paraId="285FEA96">
      <w:pPr>
        <w:spacing w:line="360" w:lineRule="auto"/>
        <w:rPr>
          <w:rFonts w:hint="default" w:ascii="宋体" w:hAnsi="宋体" w:eastAsia="宋体" w:cs="宋体"/>
          <w:lang w:val="en-US" w:eastAsia="zh-CN"/>
        </w:rPr>
      </w:pPr>
      <w:r>
        <w:rPr>
          <w:rFonts w:hint="eastAsia" w:ascii="宋体" w:hAnsi="宋体" w:eastAsia="宋体" w:cs="宋体"/>
          <w:lang w:val="en-US" w:eastAsia="zh-CN"/>
        </w:rPr>
        <w:t>e)其他相关文件</w:t>
      </w:r>
    </w:p>
    <w:p w14:paraId="359D98B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2C5488BC">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5B4F7A1A">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49E69A2B">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52EC2D02">
      <w:pPr>
        <w:pStyle w:val="7"/>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0E6DDECD">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3E48FB64">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632B87C6">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3D9517DF">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5BB60FDB">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6D18066A">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w:t>
      </w:r>
      <w:r>
        <w:rPr>
          <w:rFonts w:hint="eastAsia" w:ascii="宋体" w:hAnsi="宋体" w:cs="宋体"/>
          <w:lang w:val="en-US" w:eastAsia="zh-CN"/>
        </w:rPr>
        <w:t>2023</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cs="宋体"/>
          <w:lang w:val="en-US" w:eastAsia="zh-CN"/>
        </w:rPr>
        <w:t>2023</w:t>
      </w:r>
      <w:r>
        <w:rPr>
          <w:rFonts w:hint="eastAsia" w:ascii="宋体" w:hAnsi="宋体" w:cs="宋体"/>
        </w:rPr>
        <w:t>年后），包括但不限于资产负债表、利润表、现金流量表。应提供中文版本的审计报告或财务报表；</w:t>
      </w:r>
    </w:p>
    <w:p w14:paraId="1A8DF832">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6AA0A60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67C84D8C">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612CECC4">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3B15CC21">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74B5F812">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4E3A1A95">
      <w:pPr>
        <w:pStyle w:val="7"/>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4A581037">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w:t>
      </w:r>
      <w:r>
        <w:rPr>
          <w:rFonts w:hint="eastAsia" w:hAnsi="Courier New" w:eastAsia="宋体" w:cs="Times New Roman"/>
          <w:b/>
          <w:bCs/>
          <w:color w:val="auto"/>
          <w:kern w:val="2"/>
          <w:sz w:val="21"/>
          <w:szCs w:val="20"/>
          <w:highlight w:val="lightGray"/>
          <w:lang w:val="en-US" w:eastAsia="zh-CN" w:bidi="ar-SA"/>
        </w:rPr>
        <w:t>事故风机与报警装置联锁改造项目</w:t>
      </w:r>
      <w:r>
        <w:rPr>
          <w:rFonts w:hint="eastAsia" w:ascii="宋体" w:hAnsi="Courier New" w:eastAsia="宋体" w:cs="Times New Roman"/>
          <w:b/>
          <w:bCs/>
          <w:color w:val="auto"/>
          <w:kern w:val="2"/>
          <w:sz w:val="21"/>
          <w:szCs w:val="20"/>
          <w:highlight w:val="lightGray"/>
          <w:lang w:val="en-US" w:eastAsia="zh-CN" w:bidi="ar-SA"/>
        </w:rPr>
        <w:t>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427458D6">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603170CD">
      <w:pPr>
        <w:pStyle w:val="22"/>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1FD177E5">
      <w:pPr>
        <w:pStyle w:val="7"/>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8BB9DE2">
      <w:pPr>
        <w:pStyle w:val="7"/>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7"/>
        <w:spacing w:line="360" w:lineRule="auto"/>
        <w:ind w:firstLine="420" w:firstLineChars="200"/>
        <w:rPr>
          <w:rFonts w:hint="eastAsia"/>
        </w:rPr>
      </w:pPr>
      <w:r>
        <w:rPr>
          <w:rFonts w:hint="eastAsia"/>
        </w:rPr>
        <w:t>(b)投标人在向招标人出示《投标保证金缴纳凭证》后方可进行投标。</w:t>
      </w:r>
    </w:p>
    <w:p w14:paraId="25EDD17B">
      <w:pPr>
        <w:pStyle w:val="7"/>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E97543A">
      <w:pPr>
        <w:pStyle w:val="7"/>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0C4A8D52">
      <w:pPr>
        <w:pStyle w:val="7"/>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76A47596">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hAnsi="宋体" w:cs="宋体"/>
          <w:b/>
          <w:bCs/>
          <w:lang w:val="en-US" w:eastAsia="zh-CN"/>
        </w:rPr>
      </w:pPr>
      <w:r>
        <w:rPr>
          <w:rFonts w:hint="eastAsia" w:hAnsi="宋体" w:cs="宋体"/>
          <w:b/>
          <w:bCs/>
          <w:lang w:val="en-US" w:eastAsia="zh-CN"/>
        </w:rPr>
        <w:t>开、评标：</w:t>
      </w:r>
      <w:bookmarkStart w:id="2" w:name="_Toc33266915"/>
      <w:bookmarkStart w:id="3" w:name="_Toc395116634"/>
      <w:bookmarkStart w:id="4" w:name="_Toc33266628"/>
      <w:bookmarkStart w:id="5" w:name="_Toc33267002"/>
      <w:bookmarkStart w:id="6" w:name="_Toc33265654"/>
      <w:bookmarkStart w:id="7" w:name="_Toc33285489"/>
      <w:bookmarkStart w:id="8" w:name="_Toc33265753"/>
      <w:bookmarkStart w:id="9" w:name="_Toc33266951"/>
    </w:p>
    <w:p w14:paraId="6852EA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b/>
          <w:bCs/>
          <w:color w:val="FF0000"/>
          <w:sz w:val="21"/>
          <w:szCs w:val="21"/>
          <w:lang w:val="en-US" w:eastAsia="zh-CN"/>
        </w:rPr>
      </w:pPr>
      <w:r>
        <w:rPr>
          <w:rFonts w:hint="eastAsia" w:ascii="宋体" w:hAnsi="宋体" w:eastAsia="宋体" w:cs="宋体"/>
          <w:b/>
          <w:bCs/>
          <w:color w:val="FF0000"/>
          <w:sz w:val="21"/>
          <w:szCs w:val="21"/>
        </w:rPr>
        <w:t>1）开标方式：线上（现场)开标</w:t>
      </w:r>
      <w:r>
        <w:rPr>
          <w:rFonts w:hint="eastAsia" w:ascii="宋体" w:hAnsi="宋体" w:cs="宋体"/>
          <w:b/>
          <w:bCs/>
          <w:color w:val="FF0000"/>
          <w:sz w:val="21"/>
          <w:szCs w:val="21"/>
          <w:lang w:val="en-US" w:eastAsia="zh-CN"/>
        </w:rPr>
        <w:t xml:space="preserve"> 招标前一天会发开标通知和招标会议号（钉钉会议）</w:t>
      </w:r>
    </w:p>
    <w:p w14:paraId="3533E2AB">
      <w:pPr>
        <w:pStyle w:val="5"/>
        <w:rPr>
          <w:rFonts w:hint="eastAsia"/>
          <w:lang w:val="en-US" w:eastAsia="zh-CN"/>
        </w:rPr>
      </w:pPr>
      <w:r>
        <w:rPr>
          <w:rFonts w:hint="eastAsia" w:hAnsi="宋体" w:cs="宋体"/>
          <w:b/>
          <w:bCs/>
          <w:color w:val="FF0000"/>
          <w:sz w:val="21"/>
          <w:szCs w:val="21"/>
          <w:lang w:val="en-US" w:eastAsia="zh-CN"/>
        </w:rPr>
        <w:t>2</w:t>
      </w:r>
      <w:r>
        <w:rPr>
          <w:rFonts w:hint="eastAsia" w:ascii="宋体" w:hAnsi="宋体" w:eastAsia="宋体" w:cs="宋体"/>
          <w:b/>
          <w:bCs/>
          <w:color w:val="FF0000"/>
          <w:sz w:val="21"/>
          <w:szCs w:val="21"/>
          <w:lang w:val="en-US" w:eastAsia="zh-CN"/>
        </w:rPr>
        <w:t>）</w:t>
      </w:r>
      <w:r>
        <w:rPr>
          <w:rFonts w:hint="eastAsia" w:ascii="宋体" w:hAnsi="宋体" w:eastAsia="宋体" w:cs="宋体"/>
          <w:b/>
          <w:bCs/>
          <w:color w:val="FF0000"/>
          <w:sz w:val="21"/>
          <w:szCs w:val="21"/>
          <w:highlight w:val="none"/>
          <w:lang w:val="en-US" w:eastAsia="zh-CN"/>
        </w:rPr>
        <w:t>开标时间：202</w:t>
      </w:r>
      <w:r>
        <w:rPr>
          <w:rFonts w:hint="eastAsia" w:hAnsi="宋体" w:cs="宋体"/>
          <w:b/>
          <w:bCs/>
          <w:color w:val="FF0000"/>
          <w:sz w:val="21"/>
          <w:szCs w:val="21"/>
          <w:highlight w:val="none"/>
          <w:lang w:val="en-US" w:eastAsia="zh-CN"/>
        </w:rPr>
        <w:t>6</w:t>
      </w:r>
      <w:r>
        <w:rPr>
          <w:rFonts w:hint="eastAsia" w:ascii="宋体" w:hAnsi="宋体" w:eastAsia="宋体" w:cs="宋体"/>
          <w:b/>
          <w:bCs/>
          <w:color w:val="FF0000"/>
          <w:sz w:val="21"/>
          <w:szCs w:val="21"/>
          <w:highlight w:val="none"/>
          <w:lang w:val="en-US" w:eastAsia="zh-CN"/>
        </w:rPr>
        <w:t>年</w:t>
      </w:r>
      <w:r>
        <w:rPr>
          <w:rFonts w:hint="eastAsia" w:hAnsi="宋体" w:cs="宋体"/>
          <w:b/>
          <w:bCs/>
          <w:color w:val="FF0000"/>
          <w:sz w:val="21"/>
          <w:szCs w:val="21"/>
          <w:highlight w:val="none"/>
          <w:lang w:val="en-US" w:eastAsia="zh-CN"/>
        </w:rPr>
        <w:t>7</w:t>
      </w:r>
      <w:r>
        <w:rPr>
          <w:rFonts w:hint="eastAsia" w:ascii="宋体" w:hAnsi="宋体" w:eastAsia="宋体" w:cs="宋体"/>
          <w:b/>
          <w:bCs/>
          <w:color w:val="FF0000"/>
          <w:sz w:val="21"/>
          <w:szCs w:val="21"/>
          <w:highlight w:val="none"/>
          <w:lang w:val="en-US" w:eastAsia="zh-CN"/>
        </w:rPr>
        <w:t>月 23</w:t>
      </w:r>
      <w:r>
        <w:rPr>
          <w:rFonts w:hint="eastAsia" w:ascii="宋体" w:hAnsi="宋体" w:eastAsia="宋体" w:cs="宋体"/>
          <w:b/>
          <w:bCs/>
          <w:color w:val="FF0000"/>
          <w:kern w:val="2"/>
          <w:sz w:val="21"/>
          <w:szCs w:val="21"/>
          <w:highlight w:val="none"/>
          <w:lang w:val="en-US" w:eastAsia="zh-CN" w:bidi="ar-SA"/>
        </w:rPr>
        <w:t>日9:00:00（北京时间），若有变动另行通知。</w:t>
      </w:r>
    </w:p>
    <w:p w14:paraId="12F0DB29">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sz w:val="21"/>
          <w:szCs w:val="21"/>
          <w:highlight w:val="none"/>
          <w:lang w:val="en-US" w:eastAsia="zh-CN"/>
        </w:rPr>
        <w:t>标：</w:t>
      </w:r>
      <w:r>
        <w:rPr>
          <w:rFonts w:hint="eastAsia" w:ascii="宋体" w:hAnsi="宋体" w:eastAsia="宋体" w:cs="宋体"/>
          <w:b w:val="0"/>
          <w:bCs/>
          <w:color w:val="000000"/>
          <w:sz w:val="21"/>
          <w:szCs w:val="21"/>
          <w:highlight w:val="none"/>
        </w:rPr>
        <w:t>原则上来现场参与开标。如因特殊情况无法现场参与，需在开标前三日，通知招标人，由招标人创建视频链接，并在报名结束后统一通知。</w:t>
      </w:r>
    </w:p>
    <w:p w14:paraId="3E5583EB">
      <w:pPr>
        <w:pStyle w:val="20"/>
        <w:keepNext w:val="0"/>
        <w:keepLines w:val="0"/>
        <w:pageBreakBefore w:val="0"/>
        <w:widowControl w:val="0"/>
        <w:numPr>
          <w:ilvl w:val="0"/>
          <w:numId w:val="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b w:val="0"/>
          <w:bCs/>
          <w:color w:val="000000"/>
          <w:sz w:val="21"/>
          <w:szCs w:val="21"/>
          <w:highlight w:val="none"/>
        </w:rPr>
        <w:t>招标人创建视频链接</w:t>
      </w:r>
      <w:r>
        <w:rPr>
          <w:rFonts w:hint="eastAsia" w:ascii="宋体" w:hAnsi="宋体" w:eastAsia="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并在报名结束后统一通知。</w:t>
      </w:r>
    </w:p>
    <w:p w14:paraId="0CF30D95">
      <w:pPr>
        <w:pStyle w:val="7"/>
        <w:numPr>
          <w:ilvl w:val="0"/>
          <w:numId w:val="0"/>
        </w:numPr>
        <w:spacing w:line="360" w:lineRule="auto"/>
        <w:rPr>
          <w:rFonts w:hint="eastAsia" w:hAnsi="宋体" w:cs="宋体"/>
          <w:lang w:val="en-US" w:eastAsia="zh-CN"/>
        </w:rPr>
      </w:pPr>
      <w:r>
        <w:rPr>
          <w:rFonts w:hint="eastAsia"/>
          <w:lang w:val="en-US" w:eastAsia="zh-CN"/>
        </w:rPr>
        <w:t>3）</w:t>
      </w:r>
      <w:r>
        <w:rPr>
          <w:rFonts w:hint="eastAsia" w:hAnsi="宋体" w:cs="宋体"/>
          <w:lang w:val="en-US" w:eastAsia="zh-CN"/>
        </w:rPr>
        <w:t>评标方法：资质标审核→技术标评审→商务标评审。</w:t>
      </w:r>
    </w:p>
    <w:p w14:paraId="4B278769">
      <w:pPr>
        <w:pStyle w:val="7"/>
        <w:numPr>
          <w:ilvl w:val="0"/>
          <w:numId w:val="0"/>
        </w:numPr>
        <w:spacing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lang w:val="en-US" w:eastAsia="zh-CN"/>
        </w:rPr>
        <w:t>本着公平、公正、公开的原则，在满足技术要求的前</w:t>
      </w:r>
      <w:r>
        <w:rPr>
          <w:rFonts w:hint="eastAsia" w:ascii="宋体" w:hAnsi="宋体" w:eastAsia="宋体" w:cs="宋体"/>
          <w:highlight w:val="none"/>
          <w:lang w:val="en-US" w:eastAsia="zh-CN"/>
        </w:rPr>
        <w:t>提下</w:t>
      </w:r>
      <w:r>
        <w:rPr>
          <w:rFonts w:hint="eastAsia" w:hAnsi="宋体" w:cs="宋体"/>
          <w:highlight w:val="none"/>
          <w:lang w:val="en-US" w:eastAsia="zh-CN"/>
        </w:rPr>
        <w:t>，依据</w:t>
      </w:r>
      <w:r>
        <w:rPr>
          <w:rFonts w:hint="eastAsia" w:hAnsi="宋体" w:cs="宋体"/>
          <w:b/>
          <w:bCs/>
          <w:highlight w:val="yellow"/>
          <w:lang w:val="en-US" w:eastAsia="zh-CN"/>
        </w:rPr>
        <w:t>定标原则（采用技术入围后，商务实行低价中标）</w:t>
      </w:r>
      <w:r>
        <w:rPr>
          <w:rFonts w:hint="eastAsia" w:hAnsi="宋体" w:cs="宋体"/>
          <w:highlight w:val="none"/>
          <w:lang w:val="en-US" w:eastAsia="zh-CN"/>
        </w:rPr>
        <w:t>确定中标人</w:t>
      </w:r>
      <w:r>
        <w:rPr>
          <w:rFonts w:hint="eastAsia" w:ascii="宋体" w:hAnsi="宋体" w:eastAsia="宋体" w:cs="宋体"/>
          <w:highlight w:val="none"/>
          <w:lang w:val="en-US" w:eastAsia="zh-CN"/>
        </w:rPr>
        <w:t>，对未中标单位不做任何解释。</w:t>
      </w:r>
    </w:p>
    <w:tbl>
      <w:tblPr>
        <w:tblStyle w:val="14"/>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7"/>
        <w:gridCol w:w="9"/>
        <w:gridCol w:w="651"/>
        <w:gridCol w:w="1211"/>
        <w:gridCol w:w="709"/>
        <w:gridCol w:w="5670"/>
      </w:tblGrid>
      <w:tr w14:paraId="0DCAF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A861D53">
            <w:pPr>
              <w:spacing w:line="440" w:lineRule="exact"/>
              <w:ind w:right="34" w:rightChars="16"/>
              <w:jc w:val="center"/>
              <w:rPr>
                <w:b/>
                <w:sz w:val="18"/>
                <w:szCs w:val="18"/>
              </w:rPr>
            </w:pPr>
            <w:r>
              <w:rPr>
                <w:rFonts w:hint="eastAsia"/>
                <w:b/>
                <w:sz w:val="18"/>
                <w:szCs w:val="18"/>
              </w:rPr>
              <w:t>评标因素</w:t>
            </w:r>
          </w:p>
        </w:tc>
        <w:tc>
          <w:tcPr>
            <w:tcW w:w="660" w:type="dxa"/>
            <w:gridSpan w:val="2"/>
            <w:tcBorders>
              <w:top w:val="single" w:color="auto" w:sz="4" w:space="0"/>
              <w:left w:val="single" w:color="auto" w:sz="4" w:space="0"/>
              <w:bottom w:val="single" w:color="auto" w:sz="4" w:space="0"/>
              <w:right w:val="single" w:color="auto" w:sz="4" w:space="0"/>
            </w:tcBorders>
            <w:noWrap w:val="0"/>
            <w:vAlign w:val="center"/>
          </w:tcPr>
          <w:p w14:paraId="0F568B79">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9294C7E">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581F5">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D272674">
            <w:pPr>
              <w:spacing w:line="440" w:lineRule="exact"/>
              <w:ind w:right="34" w:rightChars="16"/>
              <w:jc w:val="center"/>
              <w:rPr>
                <w:b/>
                <w:sz w:val="18"/>
                <w:szCs w:val="18"/>
              </w:rPr>
            </w:pPr>
            <w:r>
              <w:rPr>
                <w:rFonts w:hint="eastAsia"/>
                <w:b/>
                <w:sz w:val="18"/>
                <w:szCs w:val="18"/>
              </w:rPr>
              <w:t>评分标准</w:t>
            </w:r>
          </w:p>
        </w:tc>
      </w:tr>
      <w:tr w14:paraId="4375A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6359281F">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1E97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vMerge w:val="restart"/>
            <w:tcBorders>
              <w:top w:val="single" w:color="auto" w:sz="4" w:space="0"/>
              <w:left w:val="single" w:color="auto" w:sz="4" w:space="0"/>
              <w:right w:val="single" w:color="auto" w:sz="4" w:space="0"/>
            </w:tcBorders>
            <w:noWrap w:val="0"/>
            <w:vAlign w:val="center"/>
          </w:tcPr>
          <w:p w14:paraId="57535446">
            <w:pPr>
              <w:spacing w:line="420" w:lineRule="atLeast"/>
              <w:jc w:val="center"/>
              <w:rPr>
                <w:rFonts w:ascii="宋体"/>
                <w:sz w:val="18"/>
                <w:szCs w:val="18"/>
              </w:rPr>
            </w:pPr>
            <w:r>
              <w:rPr>
                <w:rFonts w:hint="eastAsia" w:ascii="宋体" w:hAnsi="宋体"/>
                <w:sz w:val="18"/>
                <w:szCs w:val="18"/>
              </w:rPr>
              <w:t>技术因素</w:t>
            </w:r>
          </w:p>
        </w:tc>
        <w:tc>
          <w:tcPr>
            <w:tcW w:w="660" w:type="dxa"/>
            <w:gridSpan w:val="2"/>
            <w:vMerge w:val="restart"/>
            <w:tcBorders>
              <w:top w:val="single" w:color="auto" w:sz="4" w:space="0"/>
              <w:left w:val="single" w:color="auto" w:sz="4" w:space="0"/>
              <w:right w:val="single" w:color="auto" w:sz="4" w:space="0"/>
            </w:tcBorders>
            <w:noWrap w:val="0"/>
            <w:vAlign w:val="center"/>
          </w:tcPr>
          <w:p w14:paraId="1D184BB1">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100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A9652DB">
            <w:pPr>
              <w:jc w:val="center"/>
              <w:rPr>
                <w:rFonts w:hint="default" w:ascii="宋体" w:eastAsia="宋体"/>
                <w:color w:val="auto"/>
                <w:sz w:val="18"/>
                <w:szCs w:val="18"/>
                <w:lang w:val="en-US" w:eastAsia="zh-CN"/>
              </w:rPr>
            </w:pPr>
            <w:r>
              <w:rPr>
                <w:rFonts w:hint="eastAsia" w:ascii="宋体" w:hAnsi="宋体"/>
                <w:color w:val="auto"/>
                <w:sz w:val="18"/>
                <w:szCs w:val="18"/>
              </w:rPr>
              <w:t>技术方案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6B6070">
            <w:pPr>
              <w:jc w:val="center"/>
              <w:rPr>
                <w:rFonts w:hint="default" w:ascii="宋体" w:eastAsia="宋体"/>
                <w:color w:val="auto"/>
                <w:sz w:val="18"/>
                <w:szCs w:val="18"/>
                <w:lang w:val="en-US" w:eastAsia="zh-CN"/>
              </w:rPr>
            </w:pPr>
            <w:r>
              <w:rPr>
                <w:rFonts w:hint="eastAsia" w:ascii="宋体"/>
                <w:color w:val="auto"/>
                <w:sz w:val="18"/>
                <w:szCs w:val="18"/>
                <w:lang w:val="en-US" w:eastAsia="zh-CN"/>
              </w:rPr>
              <w:t>50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AAEADA8">
            <w:pPr>
              <w:tabs>
                <w:tab w:val="left" w:pos="7854"/>
              </w:tabs>
              <w:spacing w:line="300" w:lineRule="exact"/>
              <w:rPr>
                <w:rFonts w:hint="default" w:eastAsia="宋体"/>
                <w:color w:val="auto"/>
                <w:sz w:val="18"/>
                <w:szCs w:val="18"/>
                <w:lang w:val="en-US" w:eastAsia="zh-CN"/>
              </w:rPr>
            </w:pPr>
            <w:r>
              <w:rPr>
                <w:rFonts w:hint="eastAsia"/>
                <w:b/>
                <w:bCs/>
                <w:color w:val="auto"/>
                <w:sz w:val="18"/>
                <w:szCs w:val="18"/>
              </w:rPr>
              <w:t>项目技术方案</w:t>
            </w:r>
            <w:r>
              <w:rPr>
                <w:rFonts w:hint="eastAsia"/>
                <w:b/>
                <w:bCs/>
                <w:color w:val="auto"/>
                <w:sz w:val="18"/>
                <w:szCs w:val="18"/>
                <w:lang w:val="en-US" w:eastAsia="zh-CN"/>
              </w:rPr>
              <w:t>或服务关键条款</w:t>
            </w:r>
            <w:r>
              <w:rPr>
                <w:rFonts w:hint="eastAsia"/>
                <w:b/>
                <w:bCs/>
                <w:color w:val="auto"/>
                <w:sz w:val="18"/>
                <w:szCs w:val="18"/>
              </w:rPr>
              <w:t>切实可行</w:t>
            </w:r>
            <w:r>
              <w:rPr>
                <w:rFonts w:hint="eastAsia"/>
                <w:color w:val="auto"/>
                <w:sz w:val="18"/>
                <w:szCs w:val="18"/>
              </w:rPr>
              <w:t>，</w:t>
            </w:r>
            <w:r>
              <w:rPr>
                <w:rFonts w:ascii="宋体" w:hAnsi="宋体" w:eastAsia="宋体" w:cs="宋体"/>
                <w:sz w:val="18"/>
                <w:szCs w:val="18"/>
              </w:rPr>
              <w:t>对招标需求的实质理解和解决方案的先进性、可行性</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完全满足标书要求</w:t>
            </w:r>
            <w:r>
              <w:rPr>
                <w:rFonts w:hint="eastAsia" w:ascii="宋体" w:hAnsi="宋体" w:eastAsia="宋体" w:cs="宋体"/>
                <w:sz w:val="18"/>
                <w:szCs w:val="18"/>
                <w:lang w:eastAsia="zh-CN"/>
              </w:rPr>
              <w:t>（</w:t>
            </w:r>
            <w:r>
              <w:rPr>
                <w:rFonts w:hint="eastAsia" w:ascii="宋体" w:hAnsi="宋体" w:cs="宋体"/>
                <w:sz w:val="18"/>
                <w:szCs w:val="18"/>
                <w:lang w:val="en-US" w:eastAsia="zh-CN"/>
              </w:rPr>
              <w:t>41-50</w:t>
            </w:r>
            <w:r>
              <w:rPr>
                <w:rFonts w:hint="eastAsia" w:ascii="宋体" w:hAnsi="宋体" w:eastAsia="宋体" w:cs="宋体"/>
                <w:sz w:val="18"/>
                <w:szCs w:val="18"/>
                <w:lang w:val="en-US" w:eastAsia="zh-CN"/>
              </w:rPr>
              <w:t>分）</w:t>
            </w:r>
            <w:r>
              <w:rPr>
                <w:rFonts w:ascii="宋体" w:hAnsi="宋体" w:eastAsia="宋体" w:cs="宋体"/>
                <w:sz w:val="18"/>
                <w:szCs w:val="18"/>
              </w:rPr>
              <w:t>。技术路线落后或存在明显缺陷；方案设计粗糙、有遗漏；技术参数仅勉强达标</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w:t>
            </w:r>
            <w:r>
              <w:rPr>
                <w:rFonts w:hint="eastAsia" w:ascii="宋体" w:hAnsi="宋体" w:cs="宋体"/>
                <w:sz w:val="18"/>
                <w:szCs w:val="18"/>
                <w:lang w:val="en-US" w:eastAsia="zh-CN"/>
              </w:rPr>
              <w:t>40</w:t>
            </w:r>
            <w:r>
              <w:rPr>
                <w:rFonts w:hint="eastAsia" w:ascii="宋体" w:hAnsi="宋体" w:eastAsia="宋体" w:cs="宋体"/>
                <w:sz w:val="18"/>
                <w:szCs w:val="18"/>
                <w:lang w:val="en-US" w:eastAsia="zh-CN"/>
              </w:rPr>
              <w:t>分）</w:t>
            </w:r>
            <w:r>
              <w:rPr>
                <w:rFonts w:ascii="宋体" w:hAnsi="宋体" w:eastAsia="宋体" w:cs="宋体"/>
                <w:sz w:val="18"/>
                <w:szCs w:val="18"/>
              </w:rPr>
              <w:t>。</w:t>
            </w:r>
          </w:p>
        </w:tc>
      </w:tr>
      <w:tr w14:paraId="18ABC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vMerge w:val="continue"/>
            <w:tcBorders>
              <w:left w:val="single" w:color="auto" w:sz="4" w:space="0"/>
              <w:right w:val="single" w:color="auto" w:sz="4" w:space="0"/>
            </w:tcBorders>
            <w:noWrap w:val="0"/>
            <w:vAlign w:val="center"/>
          </w:tcPr>
          <w:p w14:paraId="569D3A80">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492DD10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293BC1">
            <w:pPr>
              <w:widowControl/>
              <w:jc w:val="center"/>
              <w:rPr>
                <w:rFonts w:hint="default" w:ascii="宋体" w:eastAsia="宋体"/>
                <w:color w:val="auto"/>
                <w:sz w:val="18"/>
                <w:szCs w:val="18"/>
                <w:lang w:val="en-US" w:eastAsia="zh-CN"/>
              </w:rPr>
            </w:pPr>
            <w:r>
              <w:rPr>
                <w:rFonts w:ascii="宋体" w:hAnsi="宋体" w:eastAsia="宋体" w:cs="宋体"/>
                <w:sz w:val="18"/>
                <w:szCs w:val="18"/>
              </w:rPr>
              <w:t>质量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3A4464">
            <w:pPr>
              <w:jc w:val="center"/>
              <w:rPr>
                <w:rFonts w:hint="default" w:ascii="宋体" w:eastAsia="宋体"/>
                <w:color w:val="auto"/>
                <w:sz w:val="18"/>
                <w:szCs w:val="18"/>
                <w:lang w:val="en-US" w:eastAsia="zh-CN"/>
              </w:rPr>
            </w:pPr>
            <w:r>
              <w:rPr>
                <w:rFonts w:hint="eastAsia" w:ascii="宋体"/>
                <w:color w:val="auto"/>
                <w:sz w:val="18"/>
                <w:szCs w:val="18"/>
                <w:lang w:val="en-US" w:eastAsia="zh-CN"/>
              </w:rPr>
              <w:t>20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3E5A2E2">
            <w:pPr>
              <w:keepNext w:val="0"/>
              <w:keepLines w:val="0"/>
              <w:widowControl/>
              <w:suppressLineNumbers w:val="0"/>
              <w:jc w:val="left"/>
              <w:rPr>
                <w:rFonts w:hint="default" w:eastAsia="宋体"/>
                <w:color w:val="auto"/>
                <w:sz w:val="18"/>
                <w:szCs w:val="18"/>
                <w:lang w:val="en-US" w:eastAsia="zh-CN"/>
              </w:rPr>
            </w:pPr>
            <w:r>
              <w:rPr>
                <w:rFonts w:hint="eastAsia"/>
                <w:color w:val="auto"/>
                <w:sz w:val="18"/>
                <w:szCs w:val="18"/>
              </w:rPr>
              <w:t>质量保证体系完整，措施有力，</w:t>
            </w:r>
            <w:r>
              <w:rPr>
                <w:rFonts w:hint="eastAsia" w:ascii="宋体" w:hAnsi="宋体"/>
                <w:sz w:val="18"/>
                <w:szCs w:val="18"/>
              </w:rPr>
              <w:t>能</w:t>
            </w:r>
            <w:r>
              <w:rPr>
                <w:rFonts w:hint="eastAsia" w:ascii="宋体" w:hAnsi="宋体"/>
                <w:b/>
                <w:bCs/>
                <w:sz w:val="18"/>
                <w:szCs w:val="18"/>
              </w:rPr>
              <w:t>有项目控制计划</w:t>
            </w:r>
            <w:r>
              <w:rPr>
                <w:rFonts w:hint="eastAsia" w:ascii="宋体" w:hAnsi="宋体"/>
                <w:sz w:val="18"/>
                <w:szCs w:val="18"/>
              </w:rPr>
              <w:t>（如工期、应急服务）</w:t>
            </w:r>
            <w:r>
              <w:rPr>
                <w:rFonts w:hint="eastAsia" w:ascii="宋体" w:hAnsi="宋体"/>
                <w:sz w:val="18"/>
                <w:szCs w:val="18"/>
                <w:lang w:eastAsia="zh-CN"/>
              </w:rPr>
              <w:t>，</w:t>
            </w:r>
            <w:r>
              <w:rPr>
                <w:rFonts w:ascii="宋体" w:hAnsi="宋体" w:eastAsia="宋体" w:cs="宋体"/>
                <w:b/>
                <w:bCs/>
                <w:sz w:val="18"/>
                <w:szCs w:val="18"/>
              </w:rPr>
              <w:t>完全响应招标文件</w:t>
            </w:r>
            <w:r>
              <w:rPr>
                <w:rFonts w:hint="eastAsia" w:ascii="宋体" w:hAnsi="宋体" w:eastAsia="宋体" w:cs="宋体"/>
                <w:b/>
                <w:bCs/>
                <w:sz w:val="18"/>
                <w:szCs w:val="18"/>
                <w:lang w:eastAsia="zh-CN"/>
              </w:rPr>
              <w:t>，</w:t>
            </w:r>
            <w:r>
              <w:rPr>
                <w:rFonts w:hint="eastAsia" w:ascii="宋体" w:hAnsi="宋体" w:eastAsia="宋体" w:cs="宋体"/>
                <w:b/>
                <w:bCs/>
                <w:sz w:val="18"/>
                <w:szCs w:val="18"/>
                <w:lang w:val="en-US" w:eastAsia="zh-CN"/>
              </w:rPr>
              <w:t>技术无</w:t>
            </w:r>
            <w:r>
              <w:rPr>
                <w:rFonts w:ascii="宋体" w:hAnsi="宋体" w:eastAsia="宋体" w:cs="宋体"/>
                <w:b/>
                <w:bCs/>
                <w:sz w:val="18"/>
                <w:szCs w:val="18"/>
              </w:rPr>
              <w:t>偏离</w:t>
            </w:r>
            <w:r>
              <w:rPr>
                <w:rFonts w:hint="eastAsia" w:ascii="宋体" w:hAnsi="宋体" w:eastAsia="宋体" w:cs="宋体"/>
                <w:sz w:val="18"/>
                <w:szCs w:val="18"/>
                <w:lang w:eastAsia="zh-CN"/>
              </w:rPr>
              <w:t>；</w:t>
            </w:r>
            <w:r>
              <w:rPr>
                <w:rFonts w:ascii="宋体" w:hAnsi="宋体" w:eastAsia="宋体" w:cs="宋体"/>
                <w:sz w:val="18"/>
                <w:szCs w:val="18"/>
              </w:rPr>
              <w:t>对关键需求有深刻的解读和确认（</w:t>
            </w:r>
            <w:r>
              <w:rPr>
                <w:rFonts w:hint="eastAsia" w:ascii="宋体" w:hAnsi="宋体" w:cs="宋体"/>
                <w:sz w:val="18"/>
                <w:szCs w:val="18"/>
                <w:lang w:val="en-US" w:eastAsia="zh-CN"/>
              </w:rPr>
              <w:t>11-20</w:t>
            </w:r>
            <w:r>
              <w:rPr>
                <w:rFonts w:ascii="宋体" w:hAnsi="宋体" w:eastAsia="宋体" w:cs="宋体"/>
                <w:sz w:val="18"/>
                <w:szCs w:val="18"/>
              </w:rPr>
              <w:t>分）。</w:t>
            </w:r>
            <w:r>
              <w:rPr>
                <w:rFonts w:ascii="宋体" w:hAnsi="宋体" w:eastAsia="宋体" w:cs="宋体"/>
                <w:kern w:val="0"/>
                <w:sz w:val="18"/>
                <w:szCs w:val="18"/>
                <w:lang w:val="en-US" w:eastAsia="zh-CN" w:bidi="ar"/>
              </w:rPr>
              <w:t>工期安排不合理或存在无法按期完工的风险</w:t>
            </w:r>
            <w:r>
              <w:rPr>
                <w:rFonts w:hint="eastAsia" w:ascii="宋体" w:hAnsi="宋体" w:eastAsia="宋体" w:cs="宋体"/>
                <w:kern w:val="0"/>
                <w:sz w:val="18"/>
                <w:szCs w:val="18"/>
                <w:lang w:val="en-US" w:eastAsia="zh-CN" w:bidi="ar"/>
              </w:rPr>
              <w:t>（0-</w:t>
            </w:r>
            <w:r>
              <w:rPr>
                <w:rFonts w:hint="eastAsia" w:ascii="宋体" w:hAnsi="宋体" w:cs="宋体"/>
                <w:kern w:val="0"/>
                <w:sz w:val="18"/>
                <w:szCs w:val="18"/>
                <w:lang w:val="en-US" w:eastAsia="zh-CN" w:bidi="ar"/>
              </w:rPr>
              <w:t>10</w:t>
            </w:r>
            <w:r>
              <w:rPr>
                <w:rFonts w:hint="eastAsia" w:ascii="宋体" w:hAnsi="宋体" w:eastAsia="宋体" w:cs="宋体"/>
                <w:kern w:val="0"/>
                <w:sz w:val="18"/>
                <w:szCs w:val="18"/>
                <w:lang w:val="en-US" w:eastAsia="zh-CN" w:bidi="ar"/>
              </w:rPr>
              <w:t>分）</w:t>
            </w:r>
            <w:r>
              <w:rPr>
                <w:rFonts w:ascii="宋体" w:hAnsi="宋体" w:eastAsia="宋体" w:cs="宋体"/>
                <w:kern w:val="0"/>
                <w:sz w:val="18"/>
                <w:szCs w:val="18"/>
                <w:lang w:val="en-US" w:eastAsia="zh-CN" w:bidi="ar"/>
              </w:rPr>
              <w:t>。</w:t>
            </w:r>
          </w:p>
        </w:tc>
      </w:tr>
      <w:tr w14:paraId="73AC8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vMerge w:val="continue"/>
            <w:tcBorders>
              <w:left w:val="single" w:color="auto" w:sz="4" w:space="0"/>
              <w:right w:val="single" w:color="auto" w:sz="4" w:space="0"/>
            </w:tcBorders>
            <w:noWrap w:val="0"/>
            <w:vAlign w:val="center"/>
          </w:tcPr>
          <w:p w14:paraId="5593EFD8">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09B8F774">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0E9A80">
            <w:pPr>
              <w:widowControl/>
              <w:jc w:val="center"/>
              <w:rPr>
                <w:rFonts w:ascii="宋体"/>
                <w:color w:val="auto"/>
                <w:sz w:val="18"/>
                <w:szCs w:val="18"/>
              </w:rPr>
            </w:pPr>
            <w:r>
              <w:rPr>
                <w:rFonts w:ascii="宋体" w:hAnsi="宋体" w:eastAsia="宋体" w:cs="宋体"/>
                <w:sz w:val="18"/>
                <w:szCs w:val="18"/>
              </w:rPr>
              <w:t>风险</w:t>
            </w:r>
            <w:r>
              <w:rPr>
                <w:rFonts w:hint="eastAsia" w:ascii="宋体" w:hAnsi="宋体" w:eastAsia="宋体" w:cs="宋体"/>
                <w:sz w:val="18"/>
                <w:szCs w:val="18"/>
                <w:lang w:eastAsia="zh-CN"/>
              </w:rPr>
              <w:t>、</w:t>
            </w:r>
            <w:r>
              <w:rPr>
                <w:rFonts w:ascii="宋体" w:hAnsi="宋体" w:eastAsia="宋体" w:cs="宋体"/>
                <w:sz w:val="18"/>
                <w:szCs w:val="18"/>
              </w:rPr>
              <w:t>安全与保障措施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16FD4">
            <w:pPr>
              <w:jc w:val="center"/>
              <w:rPr>
                <w:rFonts w:hint="default" w:ascii="宋体" w:eastAsia="宋体"/>
                <w:color w:val="auto"/>
                <w:sz w:val="18"/>
                <w:szCs w:val="18"/>
                <w:lang w:val="en-US" w:eastAsia="zh-CN"/>
              </w:rPr>
            </w:pPr>
            <w:r>
              <w:rPr>
                <w:rFonts w:hint="eastAsia" w:ascii="宋体"/>
                <w:color w:val="auto"/>
                <w:sz w:val="18"/>
                <w:szCs w:val="18"/>
                <w:lang w:val="en-US" w:eastAsia="zh-CN"/>
              </w:rPr>
              <w:t>15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38C8DB2E">
            <w:pPr>
              <w:keepNext w:val="0"/>
              <w:keepLines w:val="0"/>
              <w:widowControl/>
              <w:suppressLineNumbers w:val="0"/>
              <w:jc w:val="left"/>
              <w:rPr>
                <w:rFonts w:hint="default" w:eastAsia="宋体"/>
                <w:color w:val="auto"/>
                <w:sz w:val="18"/>
                <w:szCs w:val="18"/>
                <w:lang w:val="en-US" w:eastAsia="zh-CN"/>
              </w:rPr>
            </w:pPr>
            <w:r>
              <w:rPr>
                <w:rFonts w:ascii="宋体" w:hAnsi="宋体" w:eastAsia="宋体" w:cs="宋体"/>
                <w:kern w:val="0"/>
                <w:sz w:val="18"/>
                <w:szCs w:val="18"/>
                <w:lang w:val="en-US" w:eastAsia="zh-CN" w:bidi="ar"/>
              </w:rPr>
              <w:t>全面识别了项目潜在的技术、管理、外部风险。应对措施是否具体、有效，是否有应急预案。</w:t>
            </w:r>
            <w:r>
              <w:rPr>
                <w:rFonts w:ascii="宋体" w:hAnsi="宋体" w:eastAsia="宋体" w:cs="宋体"/>
                <w:sz w:val="18"/>
                <w:szCs w:val="18"/>
              </w:rPr>
              <w:t>施工安全、环境保护方案是否具体、符合法规</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w:t>
            </w:r>
            <w:r>
              <w:rPr>
                <w:rFonts w:hint="eastAsia" w:ascii="宋体" w:hAnsi="宋体" w:cs="宋体"/>
                <w:sz w:val="18"/>
                <w:szCs w:val="18"/>
                <w:lang w:val="en-US" w:eastAsia="zh-CN"/>
              </w:rPr>
              <w:t>15</w:t>
            </w:r>
            <w:r>
              <w:rPr>
                <w:rFonts w:hint="eastAsia"/>
                <w:color w:val="auto"/>
                <w:sz w:val="18"/>
                <w:szCs w:val="18"/>
                <w:lang w:val="en-US" w:eastAsia="zh-CN"/>
              </w:rPr>
              <w:t>分</w:t>
            </w:r>
            <w:r>
              <w:rPr>
                <w:rFonts w:hint="eastAsia" w:ascii="宋体" w:hAnsi="宋体" w:eastAsia="宋体" w:cs="宋体"/>
                <w:sz w:val="18"/>
                <w:szCs w:val="18"/>
                <w:lang w:val="en-US" w:eastAsia="zh-CN"/>
              </w:rPr>
              <w:t>）</w:t>
            </w:r>
          </w:p>
        </w:tc>
      </w:tr>
      <w:tr w14:paraId="4F272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977" w:type="dxa"/>
            <w:vMerge w:val="continue"/>
            <w:tcBorders>
              <w:left w:val="single" w:color="auto" w:sz="4" w:space="0"/>
              <w:right w:val="single" w:color="auto" w:sz="4" w:space="0"/>
            </w:tcBorders>
            <w:noWrap w:val="0"/>
            <w:vAlign w:val="center"/>
          </w:tcPr>
          <w:p w14:paraId="0D3A3C5B">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54AD8ADE">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163634">
            <w:pPr>
              <w:jc w:val="center"/>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E88240">
            <w:pPr>
              <w:jc w:val="center"/>
              <w:rPr>
                <w:rFonts w:hint="eastAsia" w:ascii="宋体" w:hAnsi="Calibri" w:eastAsia="宋体" w:cs="Times New Roman"/>
                <w:color w:val="auto"/>
                <w:kern w:val="2"/>
                <w:sz w:val="18"/>
                <w:szCs w:val="18"/>
                <w:lang w:val="en-US" w:eastAsia="zh-CN" w:bidi="ar-SA"/>
              </w:rPr>
            </w:pPr>
            <w:r>
              <w:rPr>
                <w:rFonts w:hint="eastAsia" w:ascii="宋体" w:hAnsi="Calibri"/>
                <w:color w:val="auto"/>
                <w:kern w:val="2"/>
                <w:sz w:val="18"/>
                <w:szCs w:val="18"/>
                <w:lang w:val="en-US" w:eastAsia="zh-CN" w:bidi="ar-SA"/>
              </w:rPr>
              <w:t>10</w:t>
            </w:r>
          </w:p>
        </w:tc>
        <w:tc>
          <w:tcPr>
            <w:tcW w:w="5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F44A6D">
            <w:pPr>
              <w:tabs>
                <w:tab w:val="left" w:pos="7854"/>
              </w:tabs>
              <w:spacing w:line="300" w:lineRule="exact"/>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优于招标文件要求或服务质量；评标现场答疑情况等（0-10</w:t>
            </w:r>
            <w:r>
              <w:rPr>
                <w:rFonts w:ascii="宋体" w:hAnsi="宋体" w:eastAsia="宋体" w:cs="宋体"/>
                <w:sz w:val="18"/>
                <w:szCs w:val="18"/>
              </w:rPr>
              <w:t>分</w:t>
            </w:r>
            <w:r>
              <w:rPr>
                <w:rFonts w:hint="eastAsia"/>
                <w:color w:val="auto"/>
                <w:sz w:val="18"/>
                <w:szCs w:val="18"/>
                <w:lang w:val="en-US" w:eastAsia="zh-CN"/>
              </w:rPr>
              <w:t>）</w:t>
            </w:r>
          </w:p>
        </w:tc>
      </w:tr>
      <w:tr w14:paraId="7E40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vMerge w:val="continue"/>
            <w:tcBorders>
              <w:left w:val="single" w:color="auto" w:sz="4" w:space="0"/>
              <w:right w:val="single" w:color="auto" w:sz="4" w:space="0"/>
            </w:tcBorders>
            <w:noWrap w:val="0"/>
            <w:vAlign w:val="center"/>
          </w:tcPr>
          <w:p w14:paraId="5AE11E12">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5F00548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22B10094">
            <w:pPr>
              <w:jc w:val="center"/>
              <w:rPr>
                <w:rFonts w:ascii="宋体" w:hAnsi="Calibri"/>
                <w:color w:val="auto"/>
                <w:kern w:val="2"/>
                <w:sz w:val="18"/>
                <w:szCs w:val="18"/>
                <w:lang w:val="en-US" w:eastAsia="zh-CN" w:bidi="ar-SA"/>
              </w:rPr>
            </w:pPr>
            <w:r>
              <w:rPr>
                <w:rFonts w:hint="eastAsia" w:ascii="宋体" w:hAnsi="宋体"/>
                <w:color w:val="auto"/>
                <w:sz w:val="18"/>
                <w:szCs w:val="18"/>
              </w:rPr>
              <w:t>业绩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34AD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136AF2C">
            <w:pPr>
              <w:tabs>
                <w:tab w:val="left" w:pos="7854"/>
              </w:tabs>
              <w:spacing w:line="300" w:lineRule="exact"/>
              <w:rPr>
                <w:rFonts w:hint="eastAsia" w:ascii="Calibri" w:hAnsi="Calibri"/>
                <w:color w:val="auto"/>
                <w:kern w:val="2"/>
                <w:sz w:val="18"/>
                <w:szCs w:val="18"/>
                <w:lang w:val="en-US" w:eastAsia="zh-CN" w:bidi="ar-SA"/>
              </w:rPr>
            </w:pPr>
            <w:r>
              <w:rPr>
                <w:rFonts w:hint="eastAsia"/>
                <w:color w:val="auto"/>
                <w:sz w:val="18"/>
                <w:szCs w:val="18"/>
                <w:lang w:val="en-US" w:eastAsia="zh-CN"/>
              </w:rPr>
              <w:t>投标文件中</w:t>
            </w:r>
            <w:r>
              <w:rPr>
                <w:rFonts w:hint="eastAsia"/>
                <w:color w:val="auto"/>
                <w:sz w:val="18"/>
                <w:szCs w:val="18"/>
              </w:rPr>
              <w:t>提供3份以上投标同类</w:t>
            </w:r>
            <w:r>
              <w:rPr>
                <w:rFonts w:hint="eastAsia"/>
                <w:color w:val="auto"/>
                <w:sz w:val="18"/>
                <w:szCs w:val="18"/>
                <w:lang w:val="en-US" w:eastAsia="zh-CN"/>
              </w:rPr>
              <w:t>业绩</w:t>
            </w:r>
            <w:r>
              <w:rPr>
                <w:rFonts w:hint="eastAsia"/>
                <w:color w:val="auto"/>
                <w:sz w:val="18"/>
                <w:szCs w:val="18"/>
              </w:rPr>
              <w:t>，得</w:t>
            </w:r>
            <w:r>
              <w:rPr>
                <w:rFonts w:hint="eastAsia"/>
                <w:color w:val="auto"/>
                <w:sz w:val="18"/>
                <w:szCs w:val="18"/>
                <w:lang w:val="en-US" w:eastAsia="zh-CN"/>
              </w:rPr>
              <w:t>5</w:t>
            </w:r>
            <w:r>
              <w:rPr>
                <w:rFonts w:hint="eastAsia"/>
                <w:color w:val="auto"/>
                <w:sz w:val="18"/>
                <w:szCs w:val="18"/>
              </w:rPr>
              <w:t>分；提供3份得</w:t>
            </w:r>
            <w:r>
              <w:rPr>
                <w:rFonts w:hint="eastAsia"/>
                <w:color w:val="auto"/>
                <w:sz w:val="18"/>
                <w:szCs w:val="18"/>
                <w:lang w:val="en-US" w:eastAsia="zh-CN"/>
              </w:rPr>
              <w:t>3</w:t>
            </w:r>
            <w:r>
              <w:rPr>
                <w:rFonts w:hint="eastAsia"/>
                <w:color w:val="auto"/>
                <w:sz w:val="18"/>
                <w:szCs w:val="18"/>
              </w:rPr>
              <w:t>分；</w:t>
            </w:r>
            <w:r>
              <w:rPr>
                <w:rFonts w:hint="eastAsia"/>
                <w:color w:val="auto"/>
                <w:sz w:val="18"/>
                <w:szCs w:val="18"/>
                <w:lang w:val="en-US" w:eastAsia="zh-CN"/>
              </w:rPr>
              <w:t>依次减少，</w:t>
            </w:r>
            <w:r>
              <w:rPr>
                <w:rFonts w:hint="eastAsia"/>
                <w:color w:val="auto"/>
                <w:sz w:val="18"/>
                <w:szCs w:val="18"/>
              </w:rPr>
              <w:t>无</w:t>
            </w:r>
            <w:r>
              <w:rPr>
                <w:rFonts w:hint="eastAsia"/>
                <w:color w:val="auto"/>
                <w:sz w:val="18"/>
                <w:szCs w:val="18"/>
                <w:lang w:val="en-US" w:eastAsia="zh-CN"/>
              </w:rPr>
              <w:t>业绩</w:t>
            </w:r>
            <w:r>
              <w:rPr>
                <w:rFonts w:hint="eastAsia"/>
                <w:color w:val="auto"/>
                <w:sz w:val="18"/>
                <w:szCs w:val="18"/>
              </w:rPr>
              <w:t>材料的，不得分。</w:t>
            </w:r>
          </w:p>
        </w:tc>
      </w:tr>
      <w:tr w14:paraId="5AC47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6"/>
            <w:tcBorders>
              <w:top w:val="single" w:color="auto" w:sz="4" w:space="0"/>
              <w:left w:val="single" w:color="auto" w:sz="4" w:space="0"/>
              <w:right w:val="single" w:color="auto" w:sz="4" w:space="0"/>
            </w:tcBorders>
            <w:noWrap w:val="0"/>
            <w:vAlign w:val="center"/>
          </w:tcPr>
          <w:p w14:paraId="315C2146">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3900F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86" w:type="dxa"/>
            <w:gridSpan w:val="2"/>
            <w:tcBorders>
              <w:top w:val="single" w:color="auto" w:sz="4" w:space="0"/>
              <w:left w:val="single" w:color="auto" w:sz="4" w:space="0"/>
              <w:right w:val="single" w:color="auto" w:sz="4" w:space="0"/>
            </w:tcBorders>
            <w:noWrap w:val="0"/>
            <w:vAlign w:val="center"/>
          </w:tcPr>
          <w:p w14:paraId="6C19A13B">
            <w:pPr>
              <w:tabs>
                <w:tab w:val="left" w:pos="7854"/>
              </w:tabs>
              <w:spacing w:line="300" w:lineRule="exact"/>
              <w:rPr>
                <w:rFonts w:hint="eastAsia"/>
                <w:b/>
                <w:bCs/>
                <w:color w:val="auto"/>
                <w:sz w:val="18"/>
                <w:szCs w:val="18"/>
                <w:lang w:val="en-US" w:eastAsia="zh-CN"/>
              </w:rPr>
            </w:pPr>
            <w:r>
              <w:rPr>
                <w:rFonts w:hint="eastAsia"/>
                <w:color w:val="auto"/>
                <w:sz w:val="18"/>
                <w:szCs w:val="18"/>
                <w:lang w:val="en-US" w:eastAsia="zh-CN"/>
              </w:rPr>
              <w:t>商务因素</w:t>
            </w:r>
          </w:p>
        </w:tc>
        <w:tc>
          <w:tcPr>
            <w:tcW w:w="8241" w:type="dxa"/>
            <w:gridSpan w:val="4"/>
            <w:tcBorders>
              <w:top w:val="single" w:color="auto" w:sz="4" w:space="0"/>
              <w:left w:val="single" w:color="auto" w:sz="4" w:space="0"/>
              <w:right w:val="single" w:color="auto" w:sz="4" w:space="0"/>
            </w:tcBorders>
            <w:noWrap w:val="0"/>
            <w:vAlign w:val="center"/>
          </w:tcPr>
          <w:p w14:paraId="7B444B1D">
            <w:pPr>
              <w:tabs>
                <w:tab w:val="left" w:pos="7854"/>
              </w:tabs>
              <w:spacing w:line="300" w:lineRule="exact"/>
              <w:rPr>
                <w:rFonts w:hint="eastAsia"/>
                <w:color w:val="auto"/>
                <w:sz w:val="18"/>
                <w:szCs w:val="18"/>
                <w:lang w:val="en-US" w:eastAsia="zh-CN"/>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r>
              <w:rPr>
                <w:rFonts w:hint="eastAsia"/>
                <w:color w:val="auto"/>
                <w:sz w:val="18"/>
                <w:szCs w:val="18"/>
              </w:rPr>
              <w:br w:type="textWrapping"/>
            </w: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16138C2F">
            <w:pPr>
              <w:tabs>
                <w:tab w:val="left" w:pos="7854"/>
              </w:tabs>
              <w:spacing w:line="300" w:lineRule="exact"/>
              <w:rPr>
                <w:rFonts w:hint="eastAsia"/>
                <w:b/>
                <w:bCs/>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0D6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545B4F07">
            <w:pPr>
              <w:numPr>
                <w:ilvl w:val="0"/>
                <w:numId w:val="0"/>
              </w:numPr>
              <w:tabs>
                <w:tab w:val="left" w:pos="7854"/>
              </w:tabs>
              <w:spacing w:line="300" w:lineRule="exact"/>
              <w:ind w:leftChars="0"/>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备注：</w:t>
            </w:r>
          </w:p>
          <w:p w14:paraId="5D964A70">
            <w:pPr>
              <w:keepNext w:val="0"/>
              <w:keepLines w:val="0"/>
              <w:widowControl/>
              <w:suppressLineNumbers w:val="0"/>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1、</w:t>
            </w:r>
            <w:r>
              <w:rPr>
                <w:rFonts w:hint="eastAsia" w:ascii="宋体" w:hAnsi="宋体" w:cs="宋体"/>
                <w:b w:val="0"/>
                <w:bCs w:val="0"/>
                <w:sz w:val="18"/>
                <w:szCs w:val="18"/>
                <w:lang w:val="en-US" w:eastAsia="zh-CN"/>
              </w:rPr>
              <w:t>原则上技术分在80分以上进入商务标。</w:t>
            </w:r>
          </w:p>
          <w:p w14:paraId="590D004C">
            <w:pPr>
              <w:tabs>
                <w:tab w:val="left" w:pos="7854"/>
              </w:tabs>
              <w:spacing w:line="300" w:lineRule="exact"/>
              <w:rPr>
                <w:rFonts w:hint="eastAsia" w:ascii="宋体" w:hAnsi="宋体" w:cs="宋体"/>
                <w:b w:val="0"/>
                <w:bCs w:val="0"/>
                <w:color w:val="000000"/>
                <w:kern w:val="0"/>
                <w:sz w:val="18"/>
                <w:szCs w:val="18"/>
                <w:lang w:val="en-US" w:eastAsia="zh-CN" w:bidi="ar"/>
              </w:rPr>
            </w:pPr>
            <w:r>
              <w:rPr>
                <w:rFonts w:hint="eastAsia" w:ascii="宋体" w:hAnsi="宋体" w:cs="宋体"/>
                <w:b w:val="0"/>
                <w:bCs w:val="0"/>
                <w:sz w:val="18"/>
                <w:szCs w:val="18"/>
                <w:lang w:val="en-US" w:eastAsia="zh-CN"/>
              </w:rPr>
              <w:t>2、</w:t>
            </w:r>
            <w:r>
              <w:rPr>
                <w:rFonts w:hint="eastAsia" w:ascii="宋体" w:hAnsi="宋体" w:eastAsia="宋体" w:cs="宋体"/>
                <w:b w:val="0"/>
                <w:bCs w:val="0"/>
                <w:sz w:val="18"/>
                <w:szCs w:val="18"/>
                <w:lang w:val="en-US" w:eastAsia="zh-CN"/>
              </w:rPr>
              <w:t>开标后进行两级评标，</w:t>
            </w:r>
            <w:r>
              <w:rPr>
                <w:rFonts w:hint="eastAsia" w:ascii="宋体" w:hAnsi="宋体" w:cs="宋体"/>
                <w:b w:val="0"/>
                <w:bCs w:val="0"/>
                <w:sz w:val="18"/>
                <w:szCs w:val="18"/>
                <w:lang w:val="en-US" w:eastAsia="zh-CN"/>
              </w:rPr>
              <w:t>入围商务标后</w:t>
            </w:r>
            <w:r>
              <w:rPr>
                <w:rFonts w:hint="eastAsia" w:ascii="宋体" w:hAnsi="宋体" w:eastAsia="宋体" w:cs="宋体"/>
                <w:b w:val="0"/>
                <w:bCs w:val="0"/>
                <w:sz w:val="18"/>
                <w:szCs w:val="18"/>
                <w:lang w:val="en-US" w:eastAsia="zh-CN"/>
              </w:rPr>
              <w:t>，在第一级评标过程中，专家组进行评标，</w:t>
            </w:r>
            <w:r>
              <w:rPr>
                <w:rFonts w:hint="eastAsia" w:ascii="宋体" w:hAnsi="宋体" w:eastAsia="宋体" w:cs="宋体"/>
                <w:b w:val="0"/>
                <w:bCs w:val="0"/>
                <w:color w:val="000000"/>
                <w:kern w:val="0"/>
                <w:sz w:val="18"/>
                <w:szCs w:val="18"/>
                <w:lang w:val="en-US" w:eastAsia="zh-CN" w:bidi="ar"/>
              </w:rPr>
              <w:t>根据谈判结果择优推荐至少 2 家入围的候选中标人。第二级评标小组与第一级入围的候选中标人开展谈判，</w:t>
            </w:r>
            <w:r>
              <w:rPr>
                <w:rFonts w:hint="eastAsia" w:ascii="宋体" w:hAnsi="宋体" w:cs="宋体"/>
                <w:b w:val="0"/>
                <w:bCs w:val="0"/>
                <w:color w:val="000000"/>
                <w:kern w:val="0"/>
                <w:sz w:val="18"/>
                <w:szCs w:val="18"/>
                <w:lang w:val="en-US" w:eastAsia="zh-CN" w:bidi="ar"/>
              </w:rPr>
              <w:t>合理最低价格</w:t>
            </w:r>
            <w:r>
              <w:rPr>
                <w:rFonts w:hint="eastAsia" w:ascii="宋体" w:hAnsi="宋体" w:eastAsia="宋体" w:cs="宋体"/>
                <w:b w:val="0"/>
                <w:bCs w:val="0"/>
                <w:color w:val="000000"/>
                <w:kern w:val="0"/>
                <w:sz w:val="18"/>
                <w:szCs w:val="18"/>
                <w:lang w:val="en-US" w:eastAsia="zh-CN" w:bidi="ar"/>
              </w:rPr>
              <w:t>中</w:t>
            </w:r>
            <w:r>
              <w:rPr>
                <w:rFonts w:hint="eastAsia" w:ascii="宋体" w:hAnsi="宋体" w:cs="宋体"/>
                <w:b w:val="0"/>
                <w:bCs w:val="0"/>
                <w:color w:val="000000"/>
                <w:kern w:val="0"/>
                <w:sz w:val="18"/>
                <w:szCs w:val="18"/>
                <w:lang w:val="en-US" w:eastAsia="zh-CN" w:bidi="ar"/>
              </w:rPr>
              <w:t>标。</w:t>
            </w:r>
          </w:p>
          <w:p w14:paraId="7AEB0F64">
            <w:pPr>
              <w:tabs>
                <w:tab w:val="left" w:pos="7854"/>
              </w:tabs>
              <w:spacing w:line="300" w:lineRule="exact"/>
              <w:rPr>
                <w:rFonts w:hint="default" w:ascii="宋体" w:hAnsi="宋体" w:cs="宋体"/>
                <w:b w:val="0"/>
                <w:bCs w:val="0"/>
                <w:color w:val="000000"/>
                <w:kern w:val="0"/>
                <w:sz w:val="18"/>
                <w:szCs w:val="18"/>
                <w:lang w:val="en-US" w:eastAsia="zh-CN" w:bidi="ar"/>
              </w:rPr>
            </w:pPr>
          </w:p>
        </w:tc>
      </w:tr>
      <w:bookmarkEnd w:id="2"/>
      <w:bookmarkEnd w:id="3"/>
      <w:bookmarkEnd w:id="4"/>
      <w:bookmarkEnd w:id="5"/>
      <w:bookmarkEnd w:id="6"/>
      <w:bookmarkEnd w:id="7"/>
      <w:bookmarkEnd w:id="8"/>
      <w:bookmarkEnd w:id="9"/>
    </w:tbl>
    <w:p w14:paraId="50B9A27E">
      <w:pPr>
        <w:pStyle w:val="7"/>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7"/>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B4F185B">
      <w:pPr>
        <w:pStyle w:val="7"/>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117F3653">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220F1307">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宋体" w:eastAsia="宋体"/>
          <w:lang w:eastAsia="zh-CN"/>
        </w:rPr>
      </w:pPr>
      <w:r>
        <w:rPr>
          <w:rFonts w:hint="eastAsia" w:ascii="宋体" w:hAnsi="宋体"/>
        </w:rPr>
        <w:t>⑴出现影响采购公正的违法、违规行为的</w:t>
      </w:r>
      <w:r>
        <w:rPr>
          <w:rFonts w:hint="eastAsia" w:ascii="宋体" w:hAnsi="宋体"/>
          <w:lang w:eastAsia="zh-CN"/>
        </w:rPr>
        <w:t>；</w:t>
      </w:r>
    </w:p>
    <w:p w14:paraId="15F57AF9">
      <w:pPr>
        <w:spacing w:line="360" w:lineRule="auto"/>
        <w:ind w:right="2" w:firstLine="420" w:firstLineChars="200"/>
        <w:rPr>
          <w:rFonts w:hint="eastAsia" w:ascii="宋体" w:hAnsi="宋体" w:eastAsia="宋体"/>
          <w:lang w:eastAsia="zh-CN"/>
        </w:rPr>
      </w:pPr>
      <w:r>
        <w:rPr>
          <w:rFonts w:hint="eastAsia" w:ascii="宋体" w:hAnsi="宋体"/>
        </w:rPr>
        <w:t>⑵因重大变故，采购任务取消的</w:t>
      </w:r>
      <w:r>
        <w:rPr>
          <w:rFonts w:hint="eastAsia" w:ascii="宋体" w:hAnsi="宋体"/>
          <w:lang w:eastAsia="zh-CN"/>
        </w:rPr>
        <w:t>；</w:t>
      </w:r>
    </w:p>
    <w:p w14:paraId="201957B1">
      <w:pPr>
        <w:spacing w:line="360" w:lineRule="auto"/>
        <w:ind w:right="2" w:firstLine="420" w:firstLineChars="200"/>
        <w:rPr>
          <w:rFonts w:hint="eastAsia" w:ascii="宋体" w:hAnsi="宋体"/>
          <w:lang w:eastAsia="zh-CN"/>
        </w:rPr>
      </w:pPr>
      <w:r>
        <w:rPr>
          <w:rFonts w:hint="eastAsia" w:ascii="宋体" w:hAnsi="宋体"/>
        </w:rPr>
        <w:t>⑶招标人认为其他应终止招标的情形</w:t>
      </w:r>
      <w:r>
        <w:rPr>
          <w:rFonts w:hint="eastAsia" w:ascii="宋体" w:hAnsi="宋体"/>
          <w:lang w:eastAsia="zh-CN"/>
        </w:rPr>
        <w:t>；</w:t>
      </w:r>
    </w:p>
    <w:p w14:paraId="08E1DCD6">
      <w:pPr>
        <w:spacing w:line="360" w:lineRule="auto"/>
        <w:ind w:right="2" w:firstLine="420" w:firstLineChars="200"/>
        <w:rPr>
          <w:rFonts w:hint="eastAsia" w:ascii="宋体" w:hAnsi="宋体"/>
          <w:lang w:val="en-US" w:eastAsia="zh-CN"/>
        </w:rPr>
      </w:pPr>
      <w:r>
        <w:rPr>
          <w:rFonts w:hint="eastAsia" w:ascii="宋体" w:hAnsi="宋体"/>
        </w:rPr>
        <w:t>⑷</w:t>
      </w:r>
      <w:r>
        <w:rPr>
          <w:rFonts w:hint="eastAsia" w:ascii="宋体" w:hAnsi="宋体"/>
          <w:lang w:val="en-US" w:eastAsia="zh-CN"/>
        </w:rPr>
        <w:t>符合条件的投标人或者对招标文件做实质响应的投标人不足三家的；</w:t>
      </w:r>
    </w:p>
    <w:p w14:paraId="7BD3F14B">
      <w:pPr>
        <w:spacing w:line="360" w:lineRule="auto"/>
        <w:ind w:right="2" w:firstLine="420" w:firstLineChars="200"/>
        <w:rPr>
          <w:rFonts w:hint="default" w:ascii="宋体" w:hAnsi="宋体"/>
          <w:lang w:val="en-US" w:eastAsia="zh-CN"/>
        </w:rPr>
      </w:pPr>
      <w:r>
        <w:rPr>
          <w:rFonts w:hint="eastAsia" w:ascii="宋体" w:hAnsi="宋体"/>
        </w:rPr>
        <w:t>⑸</w:t>
      </w:r>
      <w:r>
        <w:rPr>
          <w:rFonts w:hint="eastAsia" w:ascii="宋体" w:hAnsi="宋体"/>
          <w:lang w:val="en-US" w:eastAsia="zh-CN"/>
        </w:rPr>
        <w:t>评标委员会经评审，认为所有投标都不符合招标文件要求的；</w:t>
      </w:r>
    </w:p>
    <w:p w14:paraId="7220B219">
      <w:pPr>
        <w:spacing w:line="360" w:lineRule="auto"/>
        <w:ind w:right="2" w:firstLine="420" w:firstLineChars="200"/>
        <w:rPr>
          <w:rFonts w:hint="default" w:ascii="宋体" w:hAnsi="宋体"/>
          <w:lang w:val="en-US" w:eastAsia="zh-CN"/>
        </w:rPr>
      </w:pPr>
      <w:r>
        <w:rPr>
          <w:rFonts w:hint="eastAsia" w:ascii="宋体" w:hAnsi="宋体"/>
        </w:rPr>
        <w:t>⑹</w:t>
      </w:r>
      <w:r>
        <w:rPr>
          <w:rFonts w:hint="eastAsia" w:ascii="宋体" w:hAnsi="宋体"/>
          <w:lang w:val="en-US" w:eastAsia="zh-CN"/>
        </w:rPr>
        <w:t>投标人承诺并同意因招标人公司政策变化引起的随时终止项目的情形，并自行承担由此带来的一切损失。</w:t>
      </w:r>
    </w:p>
    <w:p w14:paraId="52B21C84">
      <w:pPr>
        <w:pStyle w:val="7"/>
        <w:spacing w:line="360" w:lineRule="auto"/>
        <w:rPr>
          <w:rFonts w:ascii="黑体" w:eastAsia="黑体"/>
          <w:b/>
          <w:bCs/>
          <w:sz w:val="28"/>
        </w:rPr>
      </w:pPr>
      <w:r>
        <w:rPr>
          <w:rFonts w:hint="eastAsia" w:ascii="黑体" w:eastAsia="黑体"/>
          <w:b/>
          <w:bCs/>
          <w:sz w:val="28"/>
        </w:rPr>
        <w:t>十、中标人瑕疵滞后发现的处理原则</w:t>
      </w:r>
    </w:p>
    <w:p w14:paraId="7D92FE71">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132C0B87">
      <w:pPr>
        <w:pStyle w:val="7"/>
        <w:spacing w:line="360" w:lineRule="auto"/>
        <w:rPr>
          <w:rFonts w:hint="eastAsia" w:ascii="黑体" w:eastAsia="黑体"/>
          <w:b/>
          <w:bCs/>
          <w:sz w:val="28"/>
        </w:rPr>
      </w:pPr>
      <w:r>
        <w:rPr>
          <w:rFonts w:hint="eastAsia" w:ascii="黑体" w:eastAsia="黑体"/>
          <w:b/>
          <w:bCs/>
          <w:sz w:val="28"/>
        </w:rPr>
        <w:t>十一、技术要求</w:t>
      </w:r>
    </w:p>
    <w:p w14:paraId="29AA87AE">
      <w:pPr>
        <w:pStyle w:val="7"/>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7"/>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50A3187B">
      <w:pPr>
        <w:pStyle w:val="7"/>
        <w:spacing w:line="360" w:lineRule="auto"/>
        <w:ind w:firstLine="420" w:firstLineChars="200"/>
        <w:rPr>
          <w:rFonts w:hint="eastAsia" w:ascii="宋体" w:eastAsia="宋体" w:cs="Times New Roman"/>
          <w:b/>
          <w:bCs/>
          <w:color w:val="0000FF"/>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hAnsi="宋体"/>
          <w:b/>
          <w:bCs/>
          <w:szCs w:val="21"/>
          <w:lang w:val="en-US" w:eastAsia="zh-CN"/>
        </w:rPr>
        <w:t xml:space="preserve"> </w:t>
      </w:r>
      <w:r>
        <w:rPr>
          <w:rFonts w:hint="eastAsia" w:hAnsi="宋体"/>
          <w:b/>
          <w:bCs/>
          <w:color w:val="0000FF"/>
          <w:szCs w:val="21"/>
          <w:lang w:val="en-US" w:eastAsia="zh-CN"/>
        </w:rPr>
        <w:t xml:space="preserve"> </w:t>
      </w:r>
      <w:r>
        <w:rPr>
          <w:rFonts w:hint="eastAsia" w:ascii="宋体" w:hAnsi="宋体" w:eastAsia="宋体" w:cs="Times New Roman"/>
          <w:b/>
          <w:bCs/>
          <w:color w:val="0000FF"/>
          <w:szCs w:val="21"/>
          <w:lang w:val="en-US" w:eastAsia="zh-CN"/>
        </w:rPr>
        <w:t>3、重汽E采通上传的投标文件应为</w:t>
      </w:r>
      <w:r>
        <w:rPr>
          <w:rFonts w:hint="eastAsia" w:ascii="宋体" w:hAnsi="宋体" w:eastAsia="宋体" w:cs="Times New Roman"/>
          <w:b/>
          <w:bCs/>
          <w:color w:val="0000FF"/>
          <w:szCs w:val="21"/>
        </w:rPr>
        <w:t>扫描</w:t>
      </w:r>
      <w:r>
        <w:rPr>
          <w:rFonts w:hint="eastAsia" w:ascii="宋体" w:hAnsi="宋体" w:eastAsia="宋体" w:cs="Times New Roman"/>
          <w:b/>
          <w:bCs/>
          <w:color w:val="0000FF"/>
          <w:szCs w:val="21"/>
          <w:lang w:val="en-US" w:eastAsia="zh-CN"/>
        </w:rPr>
        <w:t>的</w:t>
      </w:r>
      <w:r>
        <w:rPr>
          <w:rFonts w:hint="eastAsia" w:ascii="宋体" w:hAnsi="宋体" w:eastAsia="宋体" w:cs="Times New Roman"/>
          <w:b/>
          <w:bCs/>
          <w:color w:val="0000FF"/>
          <w:szCs w:val="21"/>
        </w:rPr>
        <w:t>PDF版</w:t>
      </w:r>
      <w:r>
        <w:rPr>
          <w:rFonts w:hint="eastAsia" w:ascii="宋体" w:hAnsi="宋体" w:eastAsia="宋体" w:cs="Times New Roman"/>
          <w:b/>
          <w:bCs/>
          <w:color w:val="0000FF"/>
          <w:szCs w:val="21"/>
          <w:lang w:val="en-US" w:eastAsia="zh-CN"/>
        </w:rPr>
        <w:t>并</w:t>
      </w:r>
      <w:r>
        <w:rPr>
          <w:rFonts w:hint="eastAsia" w:ascii="宋体" w:hAnsi="宋体" w:eastAsia="宋体" w:cs="Times New Roman"/>
          <w:b/>
          <w:bCs/>
          <w:color w:val="0000FF"/>
          <w:szCs w:val="21"/>
        </w:rPr>
        <w:t>加盖公司红章</w:t>
      </w:r>
      <w:r>
        <w:rPr>
          <w:rFonts w:hint="eastAsia" w:ascii="宋体" w:hAnsi="宋体" w:eastAsia="宋体" w:cs="Times New Roman"/>
          <w:b/>
          <w:bCs/>
          <w:color w:val="0000FF"/>
          <w:szCs w:val="21"/>
          <w:lang w:eastAsia="zh-CN"/>
        </w:rPr>
        <w:t>。</w:t>
      </w:r>
    </w:p>
    <w:p w14:paraId="25667B96">
      <w:pPr>
        <w:pStyle w:val="7"/>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w:t>
      </w:r>
      <w:r>
        <w:rPr>
          <w:rFonts w:hint="eastAsia" w:ascii="宋体" w:hAnsi="Courier New" w:cs="Times New Roman"/>
          <w:kern w:val="2"/>
          <w:sz w:val="21"/>
          <w:highlight w:val="none"/>
          <w:lang w:val="en-US" w:eastAsia="zh-CN" w:bidi="ar-SA"/>
        </w:rPr>
        <w:t>2023</w:t>
      </w:r>
      <w:r>
        <w:rPr>
          <w:rFonts w:hint="eastAsia" w:ascii="宋体" w:hAnsi="Courier New" w:eastAsia="宋体" w:cs="Times New Roman"/>
          <w:kern w:val="2"/>
          <w:sz w:val="21"/>
          <w:highlight w:val="none"/>
          <w:lang w:val="en-US" w:eastAsia="zh-CN" w:bidi="ar-SA"/>
        </w:rPr>
        <w:t>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1、技术规格偏离表，必须先进行两列要求一一对照，不允许直接写无偏离；</w:t>
      </w:r>
    </w:p>
    <w:p w14:paraId="3959318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2、投标人需提交的其它技术资料；</w:t>
      </w:r>
    </w:p>
    <w:p w14:paraId="7BD3E5B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3、技术规范及服务要求：详见技术要求（第三章）。</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7"/>
        <w:kinsoku w:val="0"/>
        <w:overflowPunct w:val="0"/>
        <w:autoSpaceDE w:val="0"/>
        <w:autoSpaceDN w:val="0"/>
        <w:adjustRightInd w:val="0"/>
        <w:spacing w:line="360" w:lineRule="auto"/>
        <w:ind w:left="210" w:leftChars="100" w:firstLine="420" w:firstLineChars="200"/>
        <w:rPr>
          <w:rFonts w:hint="eastAsia" w:hAnsi="宋体" w:eastAsia="宋体" w:cs="宋体"/>
          <w:spacing w:val="4"/>
          <w:szCs w:val="21"/>
          <w:highlight w:val="none"/>
          <w:lang w:eastAsia="zh-CN"/>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r>
        <w:rPr>
          <w:rFonts w:hint="eastAsia" w:hAnsi="宋体" w:cs="宋体"/>
          <w:bCs/>
          <w:szCs w:val="21"/>
          <w:highlight w:val="none"/>
          <w:lang w:eastAsia="zh-CN"/>
        </w:rPr>
        <w:t>；</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3BF91DB6">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249CB4FF">
      <w:pPr>
        <w:spacing w:line="336" w:lineRule="auto"/>
        <w:ind w:firstLine="596" w:firstLineChars="284"/>
        <w:rPr>
          <w:rFonts w:hint="eastAsia" w:ascii="Times New Roman" w:hAnsi="宋体" w:eastAsia="宋体" w:cs="宋体"/>
          <w:bCs/>
          <w:szCs w:val="21"/>
          <w:highlight w:val="none"/>
          <w:lang w:eastAsia="zh-CN"/>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)投标人基本情况及资产情况汇总表</w:t>
      </w:r>
      <w:r>
        <w:rPr>
          <w:rFonts w:hint="eastAsia" w:hAnsi="宋体" w:cs="宋体"/>
          <w:bCs/>
          <w:szCs w:val="21"/>
          <w:highlight w:val="none"/>
          <w:lang w:eastAsia="zh-CN"/>
        </w:rPr>
        <w:t>；</w:t>
      </w:r>
    </w:p>
    <w:p w14:paraId="13431ACB">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业绩表；</w:t>
      </w:r>
    </w:p>
    <w:p w14:paraId="3B844C2F">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r>
        <w:rPr>
          <w:rFonts w:hint="eastAsia" w:hAnsi="宋体" w:cs="宋体"/>
          <w:bCs/>
          <w:szCs w:val="21"/>
          <w:highlight w:val="none"/>
          <w:lang w:val="en-US" w:eastAsia="zh-CN"/>
        </w:rPr>
        <w:t>。</w:t>
      </w:r>
    </w:p>
    <w:p w14:paraId="55FEEDCD">
      <w:pPr>
        <w:spacing w:line="336" w:lineRule="auto"/>
        <w:ind w:firstLine="405" w:firstLineChars="185"/>
        <w:rPr>
          <w:rFonts w:hint="eastAsia" w:ascii="宋体" w:hAnsi="宋体" w:cs="宋体"/>
          <w:b/>
          <w:bCs/>
          <w:spacing w:val="4"/>
          <w:szCs w:val="21"/>
          <w:highlight w:val="none"/>
        </w:rPr>
      </w:pPr>
      <w:r>
        <w:rPr>
          <w:rFonts w:hint="eastAsia" w:ascii="宋体" w:hAnsi="宋体" w:cs="宋体"/>
          <w:b/>
          <w:bCs/>
          <w:spacing w:val="4"/>
          <w:szCs w:val="21"/>
          <w:highlight w:val="none"/>
        </w:rPr>
        <w:t>注：招标文件给定格式的按给定的格式填写，未给定格式的，由投标人自行编制，但需包含以上内容。</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7"/>
        <w:numPr>
          <w:ilvl w:val="0"/>
          <w:numId w:val="8"/>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15767D1">
      <w:pPr>
        <w:pStyle w:val="7"/>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3E484B5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cs="Times New Roman"/>
          <w:sz w:val="24"/>
          <w:szCs w:val="24"/>
          <w:lang w:val="en-US" w:eastAsia="zh-CN"/>
        </w:rPr>
        <w:t>事故风机与报警装置联锁改造项目</w:t>
      </w:r>
    </w:p>
    <w:p w14:paraId="6A17364F">
      <w:pPr>
        <w:pStyle w:val="7"/>
        <w:numPr>
          <w:ilvl w:val="0"/>
          <w:numId w:val="9"/>
        </w:numPr>
        <w:spacing w:line="360" w:lineRule="auto"/>
        <w:ind w:leftChars="0"/>
        <w:outlineLvl w:val="1"/>
        <w:rPr>
          <w:rFonts w:hint="eastAsia" w:ascii="黑体" w:eastAsia="黑体"/>
          <w:b/>
          <w:bCs/>
          <w:sz w:val="28"/>
        </w:rPr>
      </w:pPr>
      <w:r>
        <w:rPr>
          <w:rFonts w:hint="eastAsia" w:ascii="黑体" w:eastAsia="黑体"/>
          <w:b/>
          <w:bCs/>
          <w:sz w:val="28"/>
        </w:rPr>
        <w:t>项目范围</w:t>
      </w:r>
    </w:p>
    <w:p w14:paraId="225C8E4F">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卡车公司设备动能部各车间通风机启停与可燃气体报警装置无联动功能，要求对12处事故风机加装联动控制箱，实现与主机的联动和手动控制功能，并更换损坏的4个排风风机。</w:t>
      </w:r>
    </w:p>
    <w:p w14:paraId="2E22F01E">
      <w:pPr>
        <w:spacing w:line="360" w:lineRule="auto"/>
        <w:ind w:firstLine="480" w:firstLineChars="200"/>
        <w:rPr>
          <w:rFonts w:hint="default" w:ascii="宋体" w:hAnsi="宋体"/>
          <w:sz w:val="24"/>
          <w:highlight w:val="none"/>
          <w:lang w:val="en-US" w:eastAsia="zh-CN"/>
        </w:rPr>
      </w:pPr>
      <w:r>
        <w:rPr>
          <w:rFonts w:hint="eastAsia" w:ascii="宋体" w:hAnsi="宋体"/>
          <w:sz w:val="24"/>
          <w:highlight w:val="none"/>
          <w:lang w:val="en-US" w:eastAsia="zh-CN"/>
        </w:rPr>
        <w:t>涉及施工区域（12处）：莱芜污水站（压泥间、污泥浓缩、临时存放间） 、综合站房锅炉房、党家庄污水站（压泥间、污泥干化） 、党家庄预处理（压泥间、预处理） 、党家庄天然气站、党家庄车架阀门间、党家庄锅炉房（蒸汽锅炉、热水锅炉）。</w:t>
      </w:r>
    </w:p>
    <w:p w14:paraId="21BF0222">
      <w:pPr>
        <w:spacing w:line="360" w:lineRule="auto"/>
        <w:rPr>
          <w:rFonts w:hint="eastAsia" w:ascii="宋体" w:hAnsi="宋体"/>
          <w:sz w:val="24"/>
          <w:highlight w:val="none"/>
        </w:rPr>
      </w:pPr>
      <w:r>
        <w:rPr>
          <w:rFonts w:hint="eastAsia" w:ascii="黑体" w:hAnsi="Courier New" w:eastAsia="黑体" w:cs="Times New Roman"/>
          <w:b/>
          <w:bCs/>
          <w:kern w:val="2"/>
          <w:sz w:val="28"/>
          <w:lang w:val="en-US" w:eastAsia="zh-CN" w:bidi="ar-SA"/>
        </w:rPr>
        <w:t>三、基本要求</w:t>
      </w:r>
      <w:r>
        <w:rPr>
          <w:rFonts w:hint="eastAsia" w:cs="Times New Roman"/>
          <w:sz w:val="24"/>
          <w:szCs w:val="24"/>
          <w:lang w:val="en-US" w:eastAsia="zh-CN"/>
        </w:rPr>
        <w:br w:type="textWrapping"/>
      </w:r>
      <w:r>
        <w:rPr>
          <w:rFonts w:hint="eastAsia" w:ascii="宋体" w:hAnsi="宋体"/>
          <w:sz w:val="24"/>
          <w:highlight w:val="none"/>
        </w:rPr>
        <w:t>1、投标方所供材料或设备涉及的专利权技术以及知识产权保护的其它技术等，应保证招标方不因此受到任何侵权指控以及实际损失。</w:t>
      </w:r>
    </w:p>
    <w:p w14:paraId="5B714226">
      <w:pPr>
        <w:spacing w:line="360" w:lineRule="auto"/>
        <w:rPr>
          <w:rFonts w:hint="eastAsia" w:ascii="宋体" w:hAnsi="宋体"/>
          <w:sz w:val="24"/>
          <w:highlight w:val="none"/>
        </w:rPr>
      </w:pPr>
      <w:r>
        <w:rPr>
          <w:rFonts w:hint="eastAsia" w:ascii="宋体" w:hAnsi="宋体"/>
          <w:sz w:val="24"/>
          <w:highlight w:val="none"/>
        </w:rPr>
        <w:t>2、投标方应满足招标方提出的各项技术要求，必要时应当免费提供技术承诺或担保。</w:t>
      </w:r>
    </w:p>
    <w:p w14:paraId="16423956">
      <w:pPr>
        <w:spacing w:line="360" w:lineRule="auto"/>
        <w:rPr>
          <w:rFonts w:hint="eastAsia" w:ascii="宋体" w:hAnsi="宋体"/>
          <w:b/>
          <w:bCs/>
          <w:sz w:val="24"/>
          <w:highlight w:val="none"/>
        </w:rPr>
      </w:pPr>
      <w:r>
        <w:rPr>
          <w:rFonts w:hint="eastAsia" w:ascii="宋体" w:hAnsi="宋体"/>
          <w:b/>
          <w:bCs/>
          <w:sz w:val="24"/>
          <w:highlight w:val="none"/>
        </w:rPr>
        <w:t>投标方应保证所供设备（或材料）为中国公布的非淘汰设备（或材料），并为中国指定或规定的主管部门认可的环保型和节能型设备（或材料）。</w:t>
      </w:r>
    </w:p>
    <w:p w14:paraId="1296C0FD">
      <w:pPr>
        <w:spacing w:line="360" w:lineRule="auto"/>
        <w:rPr>
          <w:rFonts w:hint="eastAsia" w:ascii="宋体" w:hAnsi="宋体"/>
          <w:sz w:val="24"/>
          <w:highlight w:val="none"/>
        </w:rPr>
      </w:pPr>
      <w:r>
        <w:rPr>
          <w:rFonts w:hint="eastAsia" w:ascii="宋体" w:hAnsi="宋体"/>
          <w:sz w:val="24"/>
          <w:highlight w:val="none"/>
        </w:rPr>
        <w:t>3、投标方应对招标方采购的设备或材料所涉及的技术、产能等信息负有保密义务，招标方拥有追究投标方泄密责任的权利；招标方如有需要，投标方应无条件签署保密协议。</w:t>
      </w:r>
    </w:p>
    <w:p w14:paraId="655F734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Courier New" w:eastAsia="黑体" w:cs="Times New Roman"/>
          <w:b/>
          <w:bCs/>
          <w:kern w:val="2"/>
          <w:sz w:val="28"/>
          <w:lang w:val="en-US" w:eastAsia="zh-CN" w:bidi="ar-SA"/>
        </w:rPr>
      </w:pPr>
      <w:r>
        <w:rPr>
          <w:rFonts w:hint="eastAsia" w:ascii="黑体" w:eastAsia="黑体" w:cs="Times New Roman"/>
          <w:b/>
          <w:bCs/>
          <w:kern w:val="2"/>
          <w:sz w:val="28"/>
          <w:lang w:val="en-US" w:eastAsia="zh-CN" w:bidi="ar-SA"/>
        </w:rPr>
        <w:t>四、</w:t>
      </w:r>
      <w:r>
        <w:rPr>
          <w:rFonts w:hint="eastAsia" w:ascii="黑体" w:hAnsi="Courier New" w:eastAsia="黑体" w:cs="Times New Roman"/>
          <w:b/>
          <w:bCs/>
          <w:kern w:val="2"/>
          <w:sz w:val="28"/>
          <w:lang w:val="en-US" w:eastAsia="zh-CN" w:bidi="ar-SA"/>
        </w:rPr>
        <w:t>执行标准</w:t>
      </w:r>
    </w:p>
    <w:p w14:paraId="37F43A16">
      <w:pPr>
        <w:spacing w:line="360" w:lineRule="auto"/>
        <w:rPr>
          <w:rFonts w:hint="eastAsia" w:ascii="宋体" w:hAnsi="宋体"/>
          <w:sz w:val="24"/>
          <w:highlight w:val="none"/>
        </w:rPr>
      </w:pPr>
      <w:bookmarkStart w:id="13" w:name="_Toc227726367"/>
      <w:r>
        <w:rPr>
          <w:rFonts w:hint="eastAsia" w:ascii="宋体" w:hAnsi="宋体"/>
          <w:sz w:val="24"/>
          <w:highlight w:val="none"/>
        </w:rPr>
        <w:t>1、招标方所涉及标准仅为涉及的主要标准，而且不保证其为最新版执行标准；投标方应当在投标文件中认真予以填写、补充和修改完善。</w:t>
      </w:r>
      <w:bookmarkEnd w:id="13"/>
      <w:bookmarkStart w:id="14" w:name="_Toc227726368"/>
    </w:p>
    <w:p w14:paraId="07213D59">
      <w:pPr>
        <w:spacing w:line="360" w:lineRule="auto"/>
        <w:rPr>
          <w:rFonts w:hint="eastAsia" w:ascii="宋体" w:hAnsi="宋体"/>
          <w:sz w:val="24"/>
          <w:highlight w:val="none"/>
        </w:rPr>
      </w:pPr>
      <w:r>
        <w:rPr>
          <w:rFonts w:hint="eastAsia" w:ascii="宋体" w:hAnsi="宋体"/>
          <w:sz w:val="24"/>
          <w:highlight w:val="none"/>
        </w:rPr>
        <w:t>2、投标方需要执行的标准，应当以所供货物通过招标方将来组织的最终验收之日开始执行的最新标准。</w:t>
      </w:r>
      <w:bookmarkEnd w:id="14"/>
      <w:bookmarkStart w:id="15" w:name="_Toc227726369"/>
    </w:p>
    <w:p w14:paraId="2ED957EC">
      <w:pPr>
        <w:spacing w:line="360" w:lineRule="auto"/>
        <w:rPr>
          <w:rFonts w:hint="eastAsia" w:ascii="宋体" w:hAnsi="宋体"/>
          <w:sz w:val="24"/>
          <w:highlight w:val="none"/>
        </w:rPr>
      </w:pPr>
      <w:r>
        <w:rPr>
          <w:rFonts w:hint="eastAsia" w:ascii="宋体" w:hAnsi="宋体"/>
          <w:sz w:val="24"/>
          <w:highlight w:val="none"/>
        </w:rPr>
        <w:t>3、提供的材料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15"/>
      <w:r>
        <w:rPr>
          <w:rFonts w:hint="eastAsia" w:ascii="宋体" w:hAnsi="宋体"/>
          <w:sz w:val="24"/>
          <w:highlight w:val="none"/>
        </w:rPr>
        <w:t xml:space="preserve"> </w:t>
      </w:r>
    </w:p>
    <w:p w14:paraId="40EE0FBC">
      <w:pPr>
        <w:spacing w:line="360" w:lineRule="auto"/>
        <w:rPr>
          <w:rFonts w:ascii="宋体" w:hAnsi="宋体"/>
          <w:sz w:val="24"/>
          <w:highlight w:val="none"/>
        </w:rPr>
      </w:pPr>
      <w:r>
        <w:rPr>
          <w:rFonts w:hint="eastAsia" w:ascii="宋体" w:hAnsi="宋体"/>
          <w:sz w:val="24"/>
          <w:highlight w:val="none"/>
        </w:rPr>
        <w:t>4、项目施工及验收依据</w:t>
      </w:r>
    </w:p>
    <w:p w14:paraId="485AFE29">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GB 12801-2025《生产过程安全基本要求》</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GB 50019-2015《工业建筑供暖通风与空气调节设计规范》</w:t>
      </w:r>
    </w:p>
    <w:p w14:paraId="341B826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ascii="黑体" w:hAnsi="Courier New" w:eastAsia="黑体" w:cs="Times New Roman"/>
          <w:b/>
          <w:bCs/>
          <w:kern w:val="2"/>
          <w:sz w:val="28"/>
          <w:lang w:val="en-US" w:eastAsia="zh-CN" w:bidi="ar-SA"/>
        </w:rPr>
        <w:t>五、具体实施要求</w:t>
      </w:r>
    </w:p>
    <w:p w14:paraId="042AF756">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1、可燃气体报警装置检测到车间浓度超标时，对应车间通风机自动启动。并保留手动启动功能。</w:t>
      </w:r>
    </w:p>
    <w:p w14:paraId="74237A1B">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2、更换相关线缆及穿线管，对部分车间总计损坏的4处风机进行更换。</w:t>
      </w:r>
      <w:r>
        <w:rPr>
          <w:rFonts w:hint="eastAsia" w:ascii="宋体" w:hAnsi="宋体"/>
          <w:sz w:val="24"/>
          <w:highlight w:val="none"/>
          <w:lang w:val="en-US" w:eastAsia="zh-CN"/>
        </w:rPr>
        <w:br w:type="textWrapping"/>
      </w:r>
      <w:r>
        <w:rPr>
          <w:rFonts w:hint="eastAsia" w:ascii="宋体" w:hAnsi="宋体"/>
          <w:sz w:val="24"/>
          <w:highlight w:val="none"/>
          <w:lang w:val="en-US" w:eastAsia="zh-CN"/>
        </w:rPr>
        <w:t>3、设备/材料要求</w:t>
      </w:r>
    </w:p>
    <w:p w14:paraId="68FF9338">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3.1联动控制箱</w:t>
      </w:r>
    </w:p>
    <w:p w14:paraId="6CB21E74">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采用基业箱子，尺寸500x600。</w:t>
      </w:r>
    </w:p>
    <w:p w14:paraId="4FDCDD77">
      <w:pPr>
        <w:spacing w:line="360" w:lineRule="auto"/>
        <w:rPr>
          <w:rFonts w:hint="default" w:ascii="宋体" w:hAnsi="宋体"/>
          <w:sz w:val="24"/>
          <w:highlight w:val="none"/>
          <w:lang w:val="en-US" w:eastAsia="zh-CN"/>
        </w:rPr>
      </w:pPr>
      <w:r>
        <w:rPr>
          <w:rFonts w:hint="eastAsia" w:ascii="宋体" w:hAnsi="宋体"/>
          <w:sz w:val="24"/>
          <w:highlight w:val="none"/>
          <w:lang w:val="en-US" w:eastAsia="zh-CN"/>
        </w:rPr>
        <w:t>主控制采用PLC控制</w:t>
      </w:r>
    </w:p>
    <w:p w14:paraId="78924554">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内部有三路空气开关、接触器、热继电器</w:t>
      </w:r>
    </w:p>
    <w:p w14:paraId="1CC5DECB">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控制箱面板带上电指示灯、报警蜂鸣器、手自动切换旋钮、手动启停按钮。</w:t>
      </w:r>
    </w:p>
    <w:p w14:paraId="3AA64237">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配套接线端子、接地线排。</w:t>
      </w:r>
    </w:p>
    <w:p w14:paraId="2BBBC7F9">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3.2风机</w:t>
      </w:r>
    </w:p>
    <w:p w14:paraId="3A0D71CC">
      <w:pPr>
        <w:spacing w:line="360" w:lineRule="auto"/>
        <w:rPr>
          <w:rFonts w:hint="eastAsia" w:ascii="宋体" w:hAnsi="宋体"/>
          <w:sz w:val="24"/>
          <w:highlight w:val="none"/>
          <w:lang w:val="en-US" w:eastAsia="zh-CN"/>
        </w:rPr>
      </w:pPr>
      <w:r>
        <w:rPr>
          <w:rFonts w:hint="eastAsia" w:ascii="宋体" w:hAnsi="宋体"/>
          <w:color w:val="auto"/>
          <w:sz w:val="24"/>
          <w:highlight w:val="none"/>
          <w:lang w:val="en-US" w:eastAsia="zh-CN"/>
        </w:rPr>
        <w:t>有防爆要求的场所，所使用的通风机采用防爆轴</w:t>
      </w:r>
      <w:r>
        <w:rPr>
          <w:rFonts w:hint="eastAsia" w:ascii="宋体" w:hAnsi="宋体"/>
          <w:sz w:val="24"/>
          <w:highlight w:val="none"/>
          <w:lang w:val="en-US" w:eastAsia="zh-CN"/>
        </w:rPr>
        <w:t>流风机。</w:t>
      </w:r>
    </w:p>
    <w:p w14:paraId="114C826B">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3.3线缆铺设</w:t>
      </w:r>
    </w:p>
    <w:p w14:paraId="6A75C97C">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采用穿线管进行铺设线缆。部分车间需要防爆要求的采用加厚镀锌穿线管。</w:t>
      </w:r>
    </w:p>
    <w:p w14:paraId="7E894C55">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4、各车间要求</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1"/>
        <w:gridCol w:w="1721"/>
        <w:gridCol w:w="1666"/>
        <w:gridCol w:w="1543"/>
        <w:gridCol w:w="1110"/>
        <w:gridCol w:w="797"/>
        <w:gridCol w:w="1831"/>
      </w:tblGrid>
      <w:tr w14:paraId="1F8FD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329" w:type="pct"/>
            <w:tcBorders>
              <w:top w:val="single" w:color="000000" w:sz="4" w:space="0"/>
              <w:left w:val="single" w:color="000000" w:sz="4" w:space="0"/>
              <w:bottom w:val="nil"/>
              <w:right w:val="single" w:color="000000" w:sz="4" w:space="0"/>
            </w:tcBorders>
            <w:shd w:val="clear" w:color="auto" w:fill="auto"/>
            <w:vAlign w:val="center"/>
          </w:tcPr>
          <w:p w14:paraId="66799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27" w:type="pct"/>
            <w:tcBorders>
              <w:top w:val="single" w:color="000000" w:sz="4" w:space="0"/>
              <w:left w:val="single" w:color="000000" w:sz="4" w:space="0"/>
              <w:bottom w:val="nil"/>
              <w:right w:val="single" w:color="000000" w:sz="4" w:space="0"/>
            </w:tcBorders>
            <w:shd w:val="clear" w:color="auto" w:fill="auto"/>
            <w:vAlign w:val="center"/>
          </w:tcPr>
          <w:p w14:paraId="6F62B73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安装位置</w:t>
            </w:r>
          </w:p>
        </w:tc>
        <w:tc>
          <w:tcPr>
            <w:tcW w:w="897" w:type="pct"/>
            <w:tcBorders>
              <w:top w:val="single" w:color="000000" w:sz="4" w:space="0"/>
              <w:left w:val="single" w:color="000000" w:sz="4" w:space="0"/>
              <w:bottom w:val="nil"/>
              <w:right w:val="single" w:color="000000" w:sz="4" w:space="0"/>
            </w:tcBorders>
            <w:shd w:val="clear" w:color="auto" w:fill="auto"/>
            <w:vAlign w:val="center"/>
          </w:tcPr>
          <w:p w14:paraId="690C4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材料名称</w:t>
            </w:r>
          </w:p>
        </w:tc>
        <w:tc>
          <w:tcPr>
            <w:tcW w:w="831" w:type="pct"/>
            <w:tcBorders>
              <w:top w:val="single" w:color="000000" w:sz="4" w:space="0"/>
              <w:left w:val="single" w:color="000000" w:sz="4" w:space="0"/>
              <w:bottom w:val="nil"/>
              <w:right w:val="single" w:color="000000" w:sz="4" w:space="0"/>
            </w:tcBorders>
            <w:shd w:val="clear" w:color="auto" w:fill="auto"/>
            <w:vAlign w:val="center"/>
          </w:tcPr>
          <w:p w14:paraId="738DB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598" w:type="pct"/>
            <w:tcBorders>
              <w:top w:val="single" w:color="000000" w:sz="4" w:space="0"/>
              <w:left w:val="single" w:color="000000" w:sz="4" w:space="0"/>
              <w:bottom w:val="nil"/>
              <w:right w:val="single" w:color="000000" w:sz="4" w:space="0"/>
            </w:tcBorders>
            <w:shd w:val="clear" w:color="auto" w:fill="auto"/>
            <w:vAlign w:val="center"/>
          </w:tcPr>
          <w:p w14:paraId="52C5D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29" w:type="pct"/>
            <w:tcBorders>
              <w:top w:val="single" w:color="000000" w:sz="4" w:space="0"/>
              <w:left w:val="single" w:color="000000" w:sz="4" w:space="0"/>
              <w:bottom w:val="nil"/>
              <w:right w:val="single" w:color="000000" w:sz="4" w:space="0"/>
            </w:tcBorders>
            <w:shd w:val="clear" w:color="auto" w:fill="auto"/>
            <w:vAlign w:val="center"/>
          </w:tcPr>
          <w:p w14:paraId="593B4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986" w:type="pct"/>
            <w:tcBorders>
              <w:top w:val="single" w:color="000000" w:sz="4" w:space="0"/>
              <w:left w:val="single" w:color="000000" w:sz="4" w:space="0"/>
              <w:bottom w:val="nil"/>
              <w:right w:val="single" w:color="000000" w:sz="4" w:space="0"/>
            </w:tcBorders>
            <w:shd w:val="clear" w:color="auto" w:fill="auto"/>
            <w:vAlign w:val="center"/>
          </w:tcPr>
          <w:p w14:paraId="5CD26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420D1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19312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659F8D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Style w:val="74"/>
                <w:lang w:val="en-US" w:eastAsia="zh-CN" w:bidi="ar"/>
              </w:rPr>
              <w:t>莱芜污水站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C5FB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09D9A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55F0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424B0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8" w:space="0"/>
              <w:right w:val="single" w:color="000000" w:sz="8" w:space="0"/>
            </w:tcBorders>
            <w:shd w:val="clear" w:color="auto" w:fill="auto"/>
            <w:vAlign w:val="center"/>
          </w:tcPr>
          <w:p w14:paraId="7B52AA6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控制箱带现场控制与联动控制切换。</w:t>
            </w:r>
          </w:p>
        </w:tc>
      </w:tr>
      <w:tr w14:paraId="664CF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9A75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27" w:type="pct"/>
            <w:vMerge w:val="continue"/>
            <w:tcBorders>
              <w:left w:val="single" w:color="000000" w:sz="4" w:space="0"/>
              <w:right w:val="single" w:color="000000" w:sz="4" w:space="0"/>
            </w:tcBorders>
            <w:shd w:val="clear" w:color="auto" w:fill="auto"/>
            <w:vAlign w:val="center"/>
          </w:tcPr>
          <w:p w14:paraId="3928DF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DE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E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3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F9D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3C60A227">
            <w:pPr>
              <w:jc w:val="center"/>
              <w:rPr>
                <w:rFonts w:hint="eastAsia" w:ascii="宋体" w:hAnsi="宋体" w:eastAsia="宋体" w:cs="宋体"/>
                <w:i w:val="0"/>
                <w:iCs w:val="0"/>
                <w:color w:val="000000"/>
                <w:sz w:val="24"/>
                <w:szCs w:val="24"/>
                <w:u w:val="none"/>
              </w:rPr>
            </w:pPr>
          </w:p>
        </w:tc>
      </w:tr>
      <w:tr w14:paraId="2417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329" w:type="pct"/>
            <w:tcBorders>
              <w:top w:val="single" w:color="000000" w:sz="4" w:space="0"/>
              <w:left w:val="single" w:color="000000" w:sz="8" w:space="0"/>
              <w:bottom w:val="single" w:color="000000" w:sz="8" w:space="0"/>
              <w:right w:val="single" w:color="000000" w:sz="4" w:space="0"/>
            </w:tcBorders>
            <w:shd w:val="clear" w:color="auto" w:fill="auto"/>
            <w:vAlign w:val="center"/>
          </w:tcPr>
          <w:p w14:paraId="5BC96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648075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6D975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8B50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946F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7E079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034B4C89">
            <w:pPr>
              <w:jc w:val="center"/>
              <w:rPr>
                <w:rFonts w:hint="eastAsia" w:ascii="宋体" w:hAnsi="宋体" w:eastAsia="宋体" w:cs="宋体"/>
                <w:i w:val="0"/>
                <w:iCs w:val="0"/>
                <w:color w:val="000000"/>
                <w:sz w:val="24"/>
                <w:szCs w:val="24"/>
                <w:u w:val="none"/>
              </w:rPr>
            </w:pPr>
          </w:p>
        </w:tc>
      </w:tr>
      <w:tr w14:paraId="1E603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05B0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16B8B947">
            <w:pPr>
              <w:keepNext w:val="0"/>
              <w:keepLines w:val="0"/>
              <w:widowControl/>
              <w:suppressLineNumbers w:val="0"/>
              <w:tabs>
                <w:tab w:val="left" w:pos="545"/>
              </w:tabs>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莱芜综合</w:t>
            </w:r>
            <w:r>
              <w:rPr>
                <w:rFonts w:hint="eastAsia" w:ascii="宋体" w:hAnsi="宋体" w:cs="宋体"/>
                <w:i w:val="0"/>
                <w:iCs w:val="0"/>
                <w:color w:val="000000"/>
                <w:kern w:val="0"/>
                <w:sz w:val="24"/>
                <w:szCs w:val="24"/>
                <w:u w:val="none"/>
                <w:lang w:val="en-US" w:eastAsia="zh-CN" w:bidi="ar"/>
              </w:rPr>
              <w:t>站</w:t>
            </w:r>
            <w:r>
              <w:rPr>
                <w:rFonts w:hint="eastAsia" w:ascii="宋体" w:hAnsi="宋体" w:eastAsia="宋体" w:cs="宋体"/>
                <w:i w:val="0"/>
                <w:iCs w:val="0"/>
                <w:color w:val="000000"/>
                <w:kern w:val="0"/>
                <w:sz w:val="24"/>
                <w:szCs w:val="24"/>
                <w:u w:val="none"/>
                <w:lang w:val="en-US" w:eastAsia="zh-CN" w:bidi="ar"/>
              </w:rPr>
              <w:t>房</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4A6B2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5319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27D2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E1BB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8" w:space="0"/>
              <w:right w:val="single" w:color="000000" w:sz="8" w:space="0"/>
            </w:tcBorders>
            <w:shd w:val="clear" w:color="auto" w:fill="auto"/>
            <w:vAlign w:val="center"/>
          </w:tcPr>
          <w:p w14:paraId="6F561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控制箱带现场控制与联动控制切换，现场及值班室主机都可控制风机联动。穿线管符合防爆要求。</w:t>
            </w:r>
          </w:p>
        </w:tc>
      </w:tr>
      <w:tr w14:paraId="466E6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8C2D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27" w:type="pct"/>
            <w:vMerge w:val="continue"/>
            <w:tcBorders>
              <w:left w:val="single" w:color="000000" w:sz="4" w:space="0"/>
              <w:right w:val="single" w:color="000000" w:sz="4" w:space="0"/>
            </w:tcBorders>
            <w:shd w:val="clear" w:color="auto" w:fill="auto"/>
            <w:vAlign w:val="center"/>
          </w:tcPr>
          <w:p w14:paraId="5FB20A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5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9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F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C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2A52743D">
            <w:pPr>
              <w:jc w:val="center"/>
              <w:rPr>
                <w:rFonts w:hint="eastAsia" w:ascii="宋体" w:hAnsi="宋体" w:eastAsia="宋体" w:cs="宋体"/>
                <w:i w:val="0"/>
                <w:iCs w:val="0"/>
                <w:color w:val="000000"/>
                <w:sz w:val="24"/>
                <w:szCs w:val="24"/>
                <w:u w:val="none"/>
              </w:rPr>
            </w:pPr>
          </w:p>
        </w:tc>
      </w:tr>
      <w:tr w14:paraId="7C5DC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8" w:space="0"/>
              <w:right w:val="single" w:color="000000" w:sz="4" w:space="0"/>
            </w:tcBorders>
            <w:shd w:val="clear" w:color="auto" w:fill="auto"/>
            <w:vAlign w:val="center"/>
          </w:tcPr>
          <w:p w14:paraId="6EDCD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33DB24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C2D5B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527F3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2F034C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084FA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0B692E72">
            <w:pPr>
              <w:jc w:val="center"/>
              <w:rPr>
                <w:rFonts w:hint="eastAsia" w:ascii="宋体" w:hAnsi="宋体" w:eastAsia="宋体" w:cs="宋体"/>
                <w:i w:val="0"/>
                <w:iCs w:val="0"/>
                <w:color w:val="000000"/>
                <w:sz w:val="24"/>
                <w:szCs w:val="24"/>
                <w:u w:val="none"/>
              </w:rPr>
            </w:pPr>
          </w:p>
        </w:tc>
      </w:tr>
      <w:tr w14:paraId="41CAF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459F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7328716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党家污水站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2302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8D4C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8E02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E4728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6D5EE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w:t>
            </w:r>
            <w:r>
              <w:rPr>
                <w:rFonts w:hint="eastAsia" w:ascii="宋体" w:hAnsi="宋体" w:cs="宋体"/>
                <w:i w:val="0"/>
                <w:iCs w:val="0"/>
                <w:color w:val="000000"/>
                <w:kern w:val="0"/>
                <w:sz w:val="24"/>
                <w:szCs w:val="24"/>
                <w:u w:val="none"/>
                <w:lang w:val="en-US" w:eastAsia="zh-CN" w:bidi="ar"/>
              </w:rPr>
              <w:t>并更换</w:t>
            </w:r>
            <w:r>
              <w:rPr>
                <w:rFonts w:hint="eastAsia" w:ascii="宋体" w:hAnsi="宋体" w:eastAsia="宋体" w:cs="宋体"/>
                <w:i w:val="0"/>
                <w:iCs w:val="0"/>
                <w:color w:val="000000"/>
                <w:kern w:val="0"/>
                <w:sz w:val="24"/>
                <w:szCs w:val="24"/>
                <w:u w:val="none"/>
                <w:lang w:val="en-US" w:eastAsia="zh-CN" w:bidi="ar"/>
              </w:rPr>
              <w:t>两个风机。</w:t>
            </w:r>
          </w:p>
        </w:tc>
      </w:tr>
      <w:tr w14:paraId="6027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5D48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27" w:type="pct"/>
            <w:vMerge w:val="continue"/>
            <w:tcBorders>
              <w:left w:val="single" w:color="000000" w:sz="4" w:space="0"/>
              <w:right w:val="single" w:color="000000" w:sz="4" w:space="0"/>
            </w:tcBorders>
            <w:shd w:val="clear" w:color="auto" w:fill="auto"/>
            <w:vAlign w:val="center"/>
          </w:tcPr>
          <w:p w14:paraId="55C3F0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21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7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4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E0A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45C46D5D">
            <w:pPr>
              <w:jc w:val="center"/>
              <w:rPr>
                <w:rFonts w:hint="eastAsia" w:ascii="宋体" w:hAnsi="宋体" w:eastAsia="宋体" w:cs="宋体"/>
                <w:i w:val="0"/>
                <w:iCs w:val="0"/>
                <w:color w:val="000000"/>
                <w:sz w:val="24"/>
                <w:szCs w:val="24"/>
                <w:u w:val="none"/>
              </w:rPr>
            </w:pPr>
          </w:p>
        </w:tc>
      </w:tr>
      <w:tr w14:paraId="362CB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EE6D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27" w:type="pct"/>
            <w:vMerge w:val="continue"/>
            <w:tcBorders>
              <w:left w:val="single" w:color="000000" w:sz="4" w:space="0"/>
              <w:right w:val="single" w:color="000000" w:sz="4" w:space="0"/>
            </w:tcBorders>
            <w:shd w:val="clear" w:color="auto" w:fill="auto"/>
            <w:vAlign w:val="center"/>
          </w:tcPr>
          <w:p w14:paraId="0903A9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D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普通金属</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1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E0F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0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41229038">
            <w:pPr>
              <w:jc w:val="center"/>
              <w:rPr>
                <w:rFonts w:hint="eastAsia" w:ascii="宋体" w:hAnsi="宋体" w:eastAsia="宋体" w:cs="宋体"/>
                <w:i w:val="0"/>
                <w:iCs w:val="0"/>
                <w:color w:val="000000"/>
                <w:sz w:val="24"/>
                <w:szCs w:val="24"/>
                <w:u w:val="none"/>
              </w:rPr>
            </w:pPr>
          </w:p>
        </w:tc>
      </w:tr>
      <w:tr w14:paraId="32FF5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329" w:type="pct"/>
            <w:tcBorders>
              <w:top w:val="single" w:color="000000" w:sz="4" w:space="0"/>
              <w:left w:val="single" w:color="000000" w:sz="8" w:space="0"/>
              <w:bottom w:val="single" w:color="000000" w:sz="8" w:space="0"/>
              <w:right w:val="single" w:color="000000" w:sz="4" w:space="0"/>
            </w:tcBorders>
            <w:shd w:val="clear" w:color="auto" w:fill="auto"/>
            <w:vAlign w:val="center"/>
          </w:tcPr>
          <w:p w14:paraId="4364E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6C2FDB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8F469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排烟风机</w:t>
            </w:r>
          </w:p>
        </w:tc>
        <w:tc>
          <w:tcPr>
            <w:tcW w:w="831"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13133FB">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建议按现有尺寸更换</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9266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6F91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7165B8C4">
            <w:pPr>
              <w:jc w:val="center"/>
              <w:rPr>
                <w:rFonts w:hint="eastAsia" w:ascii="宋体" w:hAnsi="宋体" w:eastAsia="宋体" w:cs="宋体"/>
                <w:i w:val="0"/>
                <w:iCs w:val="0"/>
                <w:color w:val="000000"/>
                <w:sz w:val="24"/>
                <w:szCs w:val="24"/>
                <w:u w:val="none"/>
              </w:rPr>
            </w:pPr>
          </w:p>
        </w:tc>
      </w:tr>
      <w:tr w14:paraId="6D1B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81B6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1099333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党家预处理站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6A72A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21168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6BA7F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8E8F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7F9D7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w:t>
            </w:r>
          </w:p>
        </w:tc>
      </w:tr>
      <w:tr w14:paraId="20F7A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A578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27" w:type="pct"/>
            <w:vMerge w:val="continue"/>
            <w:tcBorders>
              <w:left w:val="single" w:color="000000" w:sz="4" w:space="0"/>
              <w:right w:val="single" w:color="000000" w:sz="4" w:space="0"/>
            </w:tcBorders>
            <w:shd w:val="clear" w:color="auto" w:fill="auto"/>
            <w:vAlign w:val="center"/>
          </w:tcPr>
          <w:p w14:paraId="47AF0B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F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6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D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C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7FE84304">
            <w:pPr>
              <w:jc w:val="center"/>
              <w:rPr>
                <w:rFonts w:hint="eastAsia" w:ascii="宋体" w:hAnsi="宋体" w:eastAsia="宋体" w:cs="宋体"/>
                <w:i w:val="0"/>
                <w:iCs w:val="0"/>
                <w:color w:val="000000"/>
                <w:sz w:val="24"/>
                <w:szCs w:val="24"/>
                <w:u w:val="none"/>
              </w:rPr>
            </w:pPr>
          </w:p>
        </w:tc>
      </w:tr>
      <w:tr w14:paraId="12CC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BD4A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927" w:type="pct"/>
            <w:vMerge w:val="continue"/>
            <w:tcBorders>
              <w:left w:val="single" w:color="000000" w:sz="4" w:space="0"/>
              <w:right w:val="single" w:color="000000" w:sz="4" w:space="0"/>
            </w:tcBorders>
            <w:shd w:val="clear" w:color="auto" w:fill="auto"/>
            <w:vAlign w:val="center"/>
          </w:tcPr>
          <w:p w14:paraId="3AC983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41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普通金属</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2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7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15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auto" w:sz="4" w:space="0"/>
              <w:right w:val="single" w:color="000000" w:sz="8" w:space="0"/>
            </w:tcBorders>
            <w:shd w:val="clear" w:color="auto" w:fill="auto"/>
            <w:vAlign w:val="center"/>
          </w:tcPr>
          <w:p w14:paraId="3B60B83D">
            <w:pPr>
              <w:jc w:val="center"/>
              <w:rPr>
                <w:rFonts w:hint="eastAsia" w:ascii="宋体" w:hAnsi="宋体" w:eastAsia="宋体" w:cs="宋体"/>
                <w:i w:val="0"/>
                <w:iCs w:val="0"/>
                <w:color w:val="000000"/>
                <w:sz w:val="24"/>
                <w:szCs w:val="24"/>
                <w:u w:val="none"/>
              </w:rPr>
            </w:pPr>
          </w:p>
        </w:tc>
      </w:tr>
      <w:tr w14:paraId="66B6E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659EEE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14</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56AF8D7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党家天然气站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CD5F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58DF1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2FCCB1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25801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auto" w:sz="4" w:space="0"/>
              <w:left w:val="single" w:color="000000" w:sz="4" w:space="0"/>
              <w:right w:val="single" w:color="000000" w:sz="8" w:space="0"/>
            </w:tcBorders>
            <w:shd w:val="clear" w:color="auto" w:fill="auto"/>
            <w:vAlign w:val="center"/>
          </w:tcPr>
          <w:p w14:paraId="48D86FC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控制箱带现场控制与联动控制切换。穿线管符合防爆要求。</w:t>
            </w:r>
          </w:p>
        </w:tc>
      </w:tr>
      <w:tr w14:paraId="4EACD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6E63A0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5</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3B6F2F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01756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21A9A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2046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3F363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61FAB167">
            <w:pPr>
              <w:jc w:val="center"/>
              <w:rPr>
                <w:rFonts w:hint="eastAsia" w:ascii="宋体" w:hAnsi="宋体" w:eastAsia="宋体" w:cs="宋体"/>
                <w:i w:val="0"/>
                <w:iCs w:val="0"/>
                <w:color w:val="000000"/>
                <w:sz w:val="24"/>
                <w:szCs w:val="24"/>
                <w:u w:val="none"/>
              </w:rPr>
            </w:pPr>
          </w:p>
        </w:tc>
      </w:tr>
      <w:tr w14:paraId="573AB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BFDC416">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16</w:t>
            </w:r>
          </w:p>
        </w:tc>
        <w:tc>
          <w:tcPr>
            <w:tcW w:w="927" w:type="pct"/>
            <w:vMerge w:val="restart"/>
            <w:tcBorders>
              <w:top w:val="nil"/>
              <w:left w:val="single" w:color="000000" w:sz="4" w:space="0"/>
              <w:right w:val="single" w:color="000000" w:sz="4" w:space="0"/>
            </w:tcBorders>
            <w:shd w:val="clear" w:color="auto" w:fill="auto"/>
            <w:vAlign w:val="center"/>
          </w:tcPr>
          <w:p w14:paraId="71E5E704">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党家车架阀门间</w:t>
            </w:r>
          </w:p>
        </w:tc>
        <w:tc>
          <w:tcPr>
            <w:tcW w:w="897" w:type="pct"/>
            <w:tcBorders>
              <w:top w:val="nil"/>
              <w:left w:val="single" w:color="000000" w:sz="4" w:space="0"/>
              <w:bottom w:val="nil"/>
              <w:right w:val="single" w:color="000000" w:sz="4" w:space="0"/>
            </w:tcBorders>
            <w:shd w:val="clear" w:color="auto" w:fill="auto"/>
            <w:vAlign w:val="center"/>
          </w:tcPr>
          <w:p w14:paraId="76B0E1C6">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控制箱</w:t>
            </w:r>
          </w:p>
        </w:tc>
        <w:tc>
          <w:tcPr>
            <w:tcW w:w="831" w:type="pct"/>
            <w:tcBorders>
              <w:top w:val="nil"/>
              <w:left w:val="single" w:color="000000" w:sz="4" w:space="0"/>
              <w:bottom w:val="nil"/>
              <w:right w:val="single" w:color="000000" w:sz="4" w:space="0"/>
            </w:tcBorders>
            <w:shd w:val="clear" w:color="auto" w:fill="auto"/>
            <w:noWrap/>
            <w:vAlign w:val="center"/>
          </w:tcPr>
          <w:p w14:paraId="4CAEF70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nil"/>
              <w:left w:val="single" w:color="000000" w:sz="4" w:space="0"/>
              <w:bottom w:val="nil"/>
              <w:right w:val="single" w:color="000000" w:sz="4" w:space="0"/>
            </w:tcBorders>
            <w:shd w:val="clear" w:color="auto" w:fill="auto"/>
            <w:vAlign w:val="center"/>
          </w:tcPr>
          <w:p w14:paraId="245295C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429" w:type="pct"/>
            <w:tcBorders>
              <w:top w:val="nil"/>
              <w:left w:val="single" w:color="000000" w:sz="4" w:space="0"/>
              <w:bottom w:val="nil"/>
              <w:right w:val="single" w:color="000000" w:sz="4" w:space="0"/>
            </w:tcBorders>
            <w:shd w:val="clear" w:color="auto" w:fill="auto"/>
            <w:vAlign w:val="center"/>
          </w:tcPr>
          <w:p w14:paraId="428589F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nil"/>
              <w:left w:val="single" w:color="000000" w:sz="4" w:space="0"/>
              <w:right w:val="single" w:color="000000" w:sz="8" w:space="0"/>
            </w:tcBorders>
            <w:shd w:val="clear" w:color="auto" w:fill="auto"/>
            <w:vAlign w:val="center"/>
          </w:tcPr>
          <w:p w14:paraId="34B3F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控制箱带现场控制与联动控制切换。穿线管符合防爆要求。</w:t>
            </w:r>
          </w:p>
        </w:tc>
      </w:tr>
      <w:tr w14:paraId="7311B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715C606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17</w:t>
            </w:r>
          </w:p>
        </w:tc>
        <w:tc>
          <w:tcPr>
            <w:tcW w:w="927" w:type="pct"/>
            <w:vMerge w:val="continue"/>
            <w:tcBorders>
              <w:left w:val="single" w:color="000000" w:sz="4" w:space="0"/>
              <w:bottom w:val="single" w:color="000000" w:sz="4" w:space="0"/>
              <w:right w:val="single" w:color="000000" w:sz="4" w:space="0"/>
            </w:tcBorders>
            <w:shd w:val="clear" w:color="auto" w:fill="auto"/>
            <w:vAlign w:val="center"/>
          </w:tcPr>
          <w:p w14:paraId="212BAD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4F56665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50BA47C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14B33B5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60</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B439E6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left w:val="single" w:color="000000" w:sz="4" w:space="0"/>
              <w:bottom w:val="single" w:color="000000" w:sz="4" w:space="0"/>
              <w:right w:val="single" w:color="000000" w:sz="8" w:space="0"/>
            </w:tcBorders>
            <w:shd w:val="clear" w:color="auto" w:fill="auto"/>
            <w:vAlign w:val="center"/>
          </w:tcPr>
          <w:p w14:paraId="66FA7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50C0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A41611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18</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6BD4650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党家锅炉房</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4F55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39628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023F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259E2A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00FC35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控制箱带现场控制与联动控制切换，现场及值班室主机都可控制风机联动。穿线管符合防爆要求，</w:t>
            </w:r>
            <w:r>
              <w:rPr>
                <w:rFonts w:hint="eastAsia" w:ascii="宋体" w:hAnsi="宋体" w:cs="宋体"/>
                <w:i w:val="0"/>
                <w:iCs w:val="0"/>
                <w:color w:val="000000"/>
                <w:kern w:val="0"/>
                <w:sz w:val="24"/>
                <w:szCs w:val="24"/>
                <w:u w:val="none"/>
                <w:lang w:val="en-US" w:eastAsia="zh-CN" w:bidi="ar"/>
              </w:rPr>
              <w:t>并更换</w:t>
            </w:r>
            <w:r>
              <w:rPr>
                <w:rFonts w:hint="eastAsia" w:ascii="宋体" w:hAnsi="宋体" w:eastAsia="宋体" w:cs="宋体"/>
                <w:i w:val="0"/>
                <w:iCs w:val="0"/>
                <w:color w:val="000000"/>
                <w:kern w:val="0"/>
                <w:sz w:val="24"/>
                <w:szCs w:val="24"/>
                <w:u w:val="none"/>
                <w:lang w:val="en-US" w:eastAsia="zh-CN" w:bidi="ar"/>
              </w:rPr>
              <w:t>两个风机。</w:t>
            </w:r>
          </w:p>
        </w:tc>
      </w:tr>
      <w:tr w14:paraId="4965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C9F6F3E">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19</w:t>
            </w:r>
          </w:p>
        </w:tc>
        <w:tc>
          <w:tcPr>
            <w:tcW w:w="927" w:type="pct"/>
            <w:vMerge w:val="continue"/>
            <w:tcBorders>
              <w:left w:val="single" w:color="000000" w:sz="4" w:space="0"/>
              <w:right w:val="single" w:color="000000" w:sz="4" w:space="0"/>
            </w:tcBorders>
            <w:shd w:val="clear" w:color="auto" w:fill="auto"/>
            <w:vAlign w:val="center"/>
          </w:tcPr>
          <w:p w14:paraId="7F8E84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D0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B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6A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9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5480EC7C">
            <w:pPr>
              <w:jc w:val="center"/>
              <w:rPr>
                <w:rFonts w:hint="eastAsia" w:ascii="宋体" w:hAnsi="宋体" w:eastAsia="宋体" w:cs="宋体"/>
                <w:i w:val="0"/>
                <w:iCs w:val="0"/>
                <w:color w:val="000000"/>
                <w:sz w:val="24"/>
                <w:szCs w:val="24"/>
                <w:u w:val="none"/>
              </w:rPr>
            </w:pPr>
          </w:p>
        </w:tc>
      </w:tr>
      <w:tr w14:paraId="68FA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678EB47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20</w:t>
            </w:r>
          </w:p>
        </w:tc>
        <w:tc>
          <w:tcPr>
            <w:tcW w:w="927" w:type="pct"/>
            <w:vMerge w:val="continue"/>
            <w:tcBorders>
              <w:left w:val="single" w:color="000000" w:sz="4" w:space="0"/>
              <w:right w:val="single" w:color="000000" w:sz="4" w:space="0"/>
            </w:tcBorders>
            <w:shd w:val="clear" w:color="auto" w:fill="auto"/>
            <w:vAlign w:val="center"/>
          </w:tcPr>
          <w:p w14:paraId="4A9E38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61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E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35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E0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6F7E4E1B">
            <w:pPr>
              <w:jc w:val="center"/>
              <w:rPr>
                <w:rFonts w:hint="eastAsia" w:ascii="宋体" w:hAnsi="宋体" w:eastAsia="宋体" w:cs="宋体"/>
                <w:i w:val="0"/>
                <w:iCs w:val="0"/>
                <w:color w:val="000000"/>
                <w:sz w:val="24"/>
                <w:szCs w:val="24"/>
                <w:u w:val="none"/>
              </w:rPr>
            </w:pPr>
          </w:p>
        </w:tc>
      </w:tr>
      <w:tr w14:paraId="765E6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982A28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21</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2030C6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DFF3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防爆</w:t>
            </w:r>
            <w:r>
              <w:rPr>
                <w:rFonts w:hint="eastAsia" w:ascii="宋体" w:hAnsi="宋体" w:eastAsia="宋体" w:cs="宋体"/>
                <w:i w:val="0"/>
                <w:iCs w:val="0"/>
                <w:color w:val="000000"/>
                <w:kern w:val="0"/>
                <w:sz w:val="24"/>
                <w:szCs w:val="24"/>
                <w:u w:val="none"/>
                <w:lang w:val="en-US" w:eastAsia="zh-CN" w:bidi="ar"/>
              </w:rPr>
              <w:t>排烟风机</w:t>
            </w:r>
          </w:p>
        </w:tc>
        <w:tc>
          <w:tcPr>
            <w:tcW w:w="831" w:type="pct"/>
            <w:tcBorders>
              <w:top w:val="single" w:color="000000" w:sz="4" w:space="0"/>
              <w:left w:val="single" w:color="000000" w:sz="4" w:space="0"/>
              <w:bottom w:val="single" w:color="000000" w:sz="8" w:space="0"/>
              <w:right w:val="single" w:color="000000" w:sz="4" w:space="0"/>
            </w:tcBorders>
            <w:shd w:val="clear" w:color="auto" w:fill="auto"/>
            <w:vAlign w:val="center"/>
          </w:tcPr>
          <w:p w14:paraId="25EB30FB">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建议按现有尺寸更换</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8176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6E43DB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740D084F">
            <w:pPr>
              <w:jc w:val="center"/>
              <w:rPr>
                <w:rFonts w:hint="eastAsia" w:ascii="宋体" w:hAnsi="宋体" w:eastAsia="宋体" w:cs="宋体"/>
                <w:i w:val="0"/>
                <w:iCs w:val="0"/>
                <w:color w:val="000000"/>
                <w:sz w:val="24"/>
                <w:szCs w:val="24"/>
                <w:u w:val="none"/>
              </w:rPr>
            </w:pPr>
          </w:p>
        </w:tc>
      </w:tr>
    </w:tbl>
    <w:p w14:paraId="29FF9AA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注：以上设备材料优先使用市场占有率高的一线品牌，要求产品质量符合国家生产标准及相关法律法规。如发现产品质量不达标或不满足使用要求，招标方有权拒收，并索赔由此产生的一切相关损失。</w:t>
      </w:r>
    </w:p>
    <w:p w14:paraId="1FD82EA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zh-CN"/>
        </w:rPr>
      </w:pPr>
      <w:r>
        <w:rPr>
          <w:rFonts w:hint="eastAsia" w:ascii="宋体" w:hAnsi="宋体" w:cs="宋体"/>
          <w:sz w:val="24"/>
          <w:szCs w:val="24"/>
          <w:lang w:val="en-US" w:eastAsia="zh-CN"/>
        </w:rPr>
        <w:t>5、</w:t>
      </w:r>
      <w:r>
        <w:rPr>
          <w:rFonts w:hint="eastAsia" w:ascii="宋体" w:hAnsi="宋体" w:cs="宋体"/>
          <w:sz w:val="24"/>
          <w:szCs w:val="24"/>
          <w:lang w:val="zh-CN"/>
        </w:rPr>
        <w:t>根据</w:t>
      </w:r>
      <w:r>
        <w:rPr>
          <w:rFonts w:hint="eastAsia" w:ascii="宋体" w:hAnsi="宋体" w:cs="宋体"/>
          <w:sz w:val="24"/>
          <w:szCs w:val="24"/>
          <w:lang w:val="en-US" w:eastAsia="zh-CN"/>
        </w:rPr>
        <w:t>上述</w:t>
      </w:r>
      <w:r>
        <w:rPr>
          <w:rFonts w:hint="eastAsia" w:ascii="宋体" w:hAnsi="宋体" w:cs="宋体"/>
          <w:sz w:val="24"/>
          <w:szCs w:val="24"/>
          <w:lang w:val="zh-CN"/>
        </w:rPr>
        <w:t>内容，</w:t>
      </w:r>
      <w:r>
        <w:rPr>
          <w:rFonts w:hint="eastAsia" w:ascii="宋体" w:hAnsi="宋体" w:cs="宋体"/>
          <w:sz w:val="24"/>
          <w:szCs w:val="24"/>
          <w:lang w:val="en-US" w:eastAsia="zh-CN"/>
        </w:rPr>
        <w:t>提供详细的施工</w:t>
      </w:r>
      <w:r>
        <w:rPr>
          <w:rFonts w:hint="eastAsia" w:ascii="宋体" w:hAnsi="宋体" w:cs="宋体"/>
          <w:sz w:val="24"/>
          <w:szCs w:val="24"/>
          <w:lang w:val="zh-CN"/>
        </w:rPr>
        <w:t>方案，</w:t>
      </w:r>
      <w:r>
        <w:rPr>
          <w:rFonts w:hint="eastAsia" w:ascii="宋体" w:hAnsi="宋体" w:cs="宋体"/>
          <w:sz w:val="24"/>
          <w:szCs w:val="24"/>
          <w:lang w:val="en-US" w:eastAsia="zh-CN"/>
        </w:rPr>
        <w:t>消除事故排风系统未与气体报警器联锁的安全隐患</w:t>
      </w:r>
      <w:r>
        <w:rPr>
          <w:rFonts w:hint="eastAsia" w:ascii="宋体" w:hAnsi="宋体" w:cs="宋体"/>
          <w:sz w:val="24"/>
          <w:szCs w:val="24"/>
          <w:lang w:val="zh-CN"/>
        </w:rPr>
        <w:t>，符合《生产过程安全基本要求》（GB 12801-2025）、《工业建筑供暖通风与空气调节设计规范》（GB 50019-2015）相关要求。</w:t>
      </w:r>
    </w:p>
    <w:p w14:paraId="7D8334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6、依据现场实施要求，对其拆除的旧件及材料，应</w:t>
      </w:r>
      <w:r>
        <w:rPr>
          <w:rFonts w:hint="eastAsia" w:ascii="宋体" w:hAnsi="宋体" w:cs="宋体"/>
          <w:sz w:val="24"/>
          <w:szCs w:val="24"/>
          <w:lang w:val="zh-CN" w:eastAsia="zh-CN"/>
        </w:rPr>
        <w:t>根据甲方现场人员</w:t>
      </w:r>
      <w:r>
        <w:rPr>
          <w:rFonts w:hint="eastAsia" w:ascii="宋体" w:hAnsi="宋体" w:cs="宋体"/>
          <w:sz w:val="24"/>
          <w:szCs w:val="24"/>
          <w:lang w:val="en-US" w:eastAsia="zh-CN"/>
        </w:rPr>
        <w:t>要求放置指定位置</w:t>
      </w:r>
      <w:r>
        <w:rPr>
          <w:rFonts w:hint="eastAsia" w:ascii="宋体" w:hAnsi="宋体" w:cs="宋体"/>
          <w:sz w:val="24"/>
          <w:szCs w:val="24"/>
          <w:lang w:val="zh-CN"/>
        </w:rPr>
        <w:t>；</w:t>
      </w:r>
      <w:r>
        <w:rPr>
          <w:rFonts w:hint="eastAsia" w:ascii="宋体" w:hAnsi="宋体" w:cs="宋体"/>
          <w:sz w:val="24"/>
          <w:szCs w:val="24"/>
          <w:lang w:val="en-US" w:eastAsia="zh-CN"/>
        </w:rPr>
        <w:t>拍照留存，做为验收依据。</w:t>
      </w:r>
    </w:p>
    <w:p w14:paraId="3CFF769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highlight w:val="none"/>
          <w:lang w:val="en-US" w:eastAsia="zh-CN"/>
        </w:rPr>
        <w:t>7、</w:t>
      </w:r>
      <w:r>
        <w:rPr>
          <w:rFonts w:hint="eastAsia" w:ascii="宋体" w:hAnsi="宋体" w:cs="宋体"/>
          <w:sz w:val="24"/>
          <w:szCs w:val="24"/>
          <w:lang w:val="en-US" w:eastAsia="zh-CN"/>
        </w:rPr>
        <w:t>施工</w:t>
      </w:r>
      <w:r>
        <w:rPr>
          <w:rFonts w:hint="eastAsia" w:ascii="宋体" w:hAnsi="宋体" w:cs="宋体"/>
          <w:sz w:val="24"/>
          <w:szCs w:val="24"/>
          <w:lang w:val="zh-CN" w:eastAsia="zh-CN"/>
        </w:rPr>
        <w:t>过程需要</w:t>
      </w:r>
      <w:r>
        <w:rPr>
          <w:rFonts w:hint="eastAsia" w:ascii="宋体" w:hAnsi="宋体" w:cs="宋体"/>
          <w:sz w:val="24"/>
          <w:szCs w:val="24"/>
          <w:lang w:val="en-US" w:eastAsia="zh-CN"/>
        </w:rPr>
        <w:t>各现场对隐蔽部分</w:t>
      </w:r>
      <w:r>
        <w:rPr>
          <w:rFonts w:hint="eastAsia" w:ascii="宋体" w:hAnsi="宋体" w:cs="宋体"/>
          <w:sz w:val="24"/>
          <w:szCs w:val="24"/>
          <w:lang w:val="zh-CN" w:eastAsia="zh-CN"/>
        </w:rPr>
        <w:t>进行拍照，做为验收依据</w:t>
      </w:r>
      <w:r>
        <w:rPr>
          <w:rFonts w:hint="eastAsia" w:ascii="宋体" w:hAnsi="宋体" w:cs="宋体"/>
          <w:sz w:val="24"/>
          <w:szCs w:val="24"/>
          <w:lang w:val="en-US" w:eastAsia="zh-CN"/>
        </w:rPr>
        <w:t>。</w:t>
      </w:r>
    </w:p>
    <w:p w14:paraId="258E69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highlight w:val="none"/>
          <w:lang w:val="en-US" w:eastAsia="zh-CN"/>
        </w:rPr>
        <w:t>8、根据施工明细，提供报价分</w:t>
      </w:r>
      <w:r>
        <w:rPr>
          <w:rFonts w:hint="eastAsia" w:ascii="宋体" w:hAnsi="宋体" w:cs="宋体"/>
          <w:sz w:val="24"/>
          <w:szCs w:val="24"/>
          <w:lang w:val="en-US" w:eastAsia="zh-CN"/>
        </w:rPr>
        <w:t>解表，并注明单价、数量、价格。</w:t>
      </w:r>
    </w:p>
    <w:p w14:paraId="0345CF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zh-CN"/>
        </w:rPr>
      </w:pPr>
      <w:r>
        <w:rPr>
          <w:rFonts w:hint="eastAsia" w:ascii="宋体" w:hAnsi="宋体" w:cs="宋体"/>
          <w:sz w:val="24"/>
          <w:szCs w:val="24"/>
          <w:lang w:val="en-US" w:eastAsia="zh-CN"/>
        </w:rPr>
        <w:t>9、此项目为交钥匙工程，</w:t>
      </w:r>
      <w:r>
        <w:rPr>
          <w:rFonts w:hint="eastAsia" w:ascii="宋体" w:hAnsi="宋体" w:cs="宋体"/>
          <w:sz w:val="24"/>
          <w:szCs w:val="24"/>
          <w:lang w:val="zh-CN"/>
        </w:rPr>
        <w:t>投标方承担所有材料、运输、人工等费用（</w:t>
      </w:r>
      <w:r>
        <w:rPr>
          <w:rFonts w:hint="eastAsia" w:ascii="宋体" w:hAnsi="宋体" w:cs="宋体"/>
          <w:sz w:val="24"/>
          <w:szCs w:val="24"/>
          <w:lang w:val="en-US" w:eastAsia="zh-CN"/>
        </w:rPr>
        <w:t>除甲供材材料）</w:t>
      </w:r>
      <w:r>
        <w:rPr>
          <w:rFonts w:hint="eastAsia" w:ascii="宋体" w:hAnsi="宋体" w:cs="宋体"/>
          <w:sz w:val="24"/>
          <w:szCs w:val="24"/>
          <w:lang w:val="zh-CN"/>
        </w:rPr>
        <w:t>。</w:t>
      </w:r>
    </w:p>
    <w:p w14:paraId="1D90E45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sz w:val="24"/>
          <w:highlight w:val="none"/>
        </w:rPr>
      </w:pPr>
      <w:r>
        <w:rPr>
          <w:rFonts w:hint="eastAsia" w:ascii="宋体" w:hAnsi="宋体" w:cs="宋体"/>
          <w:sz w:val="24"/>
          <w:szCs w:val="24"/>
          <w:lang w:val="en-US" w:eastAsia="zh-CN"/>
        </w:rPr>
        <w:t>10、安全环保</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10.</w:t>
      </w:r>
      <w:bookmarkStart w:id="16" w:name="_Toc62482962"/>
      <w:r>
        <w:rPr>
          <w:rFonts w:hint="eastAsia" w:ascii="宋体" w:hAnsi="宋体" w:cs="宋体"/>
          <w:sz w:val="24"/>
          <w:szCs w:val="24"/>
          <w:lang w:val="en-US" w:eastAsia="zh-CN"/>
        </w:rPr>
        <w:t>1</w:t>
      </w:r>
      <w:r>
        <w:rPr>
          <w:rFonts w:hint="eastAsia" w:ascii="宋体" w:hAnsi="宋体"/>
          <w:sz w:val="24"/>
          <w:highlight w:val="none"/>
        </w:rPr>
        <w:t>一般性要求：对人的安全、防护、辐射等劳动保护条款符合国国家的行业相关标准，并且不得与招标方国家的行业标准相冲突；</w:t>
      </w:r>
    </w:p>
    <w:p w14:paraId="58F32B03">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s="宋体"/>
          <w:sz w:val="24"/>
          <w:szCs w:val="24"/>
          <w:lang w:val="zh-CN" w:eastAsia="zh-CN"/>
        </w:rPr>
      </w:pPr>
      <w:r>
        <w:rPr>
          <w:rFonts w:hint="eastAsia" w:ascii="宋体" w:hAnsi="宋体"/>
          <w:b w:val="0"/>
          <w:bCs w:val="0"/>
          <w:sz w:val="24"/>
          <w:highlight w:val="none"/>
          <w:lang w:val="en-US" w:eastAsia="zh-CN"/>
        </w:rPr>
        <w:t>10.2</w:t>
      </w:r>
      <w:r>
        <w:rPr>
          <w:rFonts w:hint="eastAsia" w:ascii="宋体" w:hAnsi="宋体" w:cs="宋体"/>
          <w:sz w:val="24"/>
          <w:szCs w:val="24"/>
          <w:lang w:val="en-US" w:eastAsia="zh-CN"/>
        </w:rPr>
        <w:t>施工材料</w:t>
      </w:r>
      <w:r>
        <w:rPr>
          <w:rFonts w:hint="eastAsia" w:ascii="宋体" w:hAnsi="宋体" w:cs="宋体"/>
          <w:sz w:val="24"/>
          <w:szCs w:val="24"/>
          <w:lang w:val="zh-CN"/>
        </w:rPr>
        <w:t>集中存放到指定位置，不能</w:t>
      </w:r>
      <w:r>
        <w:rPr>
          <w:rFonts w:hint="eastAsia" w:ascii="宋体" w:hAnsi="宋体" w:cs="宋体"/>
          <w:sz w:val="24"/>
          <w:szCs w:val="24"/>
          <w:lang w:val="en-US" w:eastAsia="zh-CN"/>
        </w:rPr>
        <w:t>影响正常生产，</w:t>
      </w:r>
      <w:r>
        <w:rPr>
          <w:rFonts w:hint="eastAsia" w:ascii="宋体" w:hAnsi="宋体" w:cs="宋体"/>
          <w:sz w:val="24"/>
          <w:szCs w:val="24"/>
          <w:lang w:val="zh-CN"/>
        </w:rPr>
        <w:t>采用隔栏或围墙的形式将施工区域隔开</w:t>
      </w:r>
      <w:r>
        <w:rPr>
          <w:rFonts w:hint="eastAsia" w:ascii="宋体" w:hAnsi="宋体" w:cs="宋体"/>
          <w:sz w:val="24"/>
          <w:szCs w:val="24"/>
          <w:lang w:val="zh-CN" w:eastAsia="zh-CN"/>
        </w:rPr>
        <w:t>；</w:t>
      </w:r>
    </w:p>
    <w:p w14:paraId="77388D10">
      <w:pPr>
        <w:numPr>
          <w:ilvl w:val="0"/>
          <w:numId w:val="0"/>
        </w:numPr>
        <w:tabs>
          <w:tab w:val="left" w:pos="640"/>
        </w:tabs>
        <w:spacing w:line="360" w:lineRule="auto"/>
        <w:rPr>
          <w:rFonts w:hint="eastAsia" w:ascii="宋体" w:hAnsi="宋体"/>
          <w:b w:val="0"/>
          <w:bCs w:val="0"/>
          <w:sz w:val="24"/>
          <w:highlight w:val="none"/>
        </w:rPr>
      </w:pPr>
      <w:r>
        <w:rPr>
          <w:rFonts w:hint="eastAsia" w:ascii="宋体" w:hAnsi="宋体"/>
          <w:b w:val="0"/>
          <w:bCs w:val="0"/>
          <w:sz w:val="24"/>
          <w:highlight w:val="none"/>
          <w:lang w:val="en-US" w:eastAsia="zh-CN"/>
        </w:rPr>
        <w:t>10.3</w:t>
      </w:r>
      <w:r>
        <w:rPr>
          <w:rFonts w:hint="eastAsia" w:ascii="宋体" w:hAnsi="宋体"/>
          <w:b w:val="0"/>
          <w:bCs w:val="0"/>
          <w:sz w:val="24"/>
          <w:highlight w:val="none"/>
        </w:rPr>
        <w:t>材料搬运，需根据材料的体积、重量，组织适当的劳动力；</w:t>
      </w:r>
    </w:p>
    <w:p w14:paraId="38F281D4">
      <w:pPr>
        <w:numPr>
          <w:ilvl w:val="0"/>
          <w:numId w:val="0"/>
        </w:numPr>
        <w:tabs>
          <w:tab w:val="left" w:pos="640"/>
        </w:tabs>
        <w:spacing w:line="360" w:lineRule="auto"/>
        <w:rPr>
          <w:rFonts w:hint="eastAsia" w:ascii="宋体" w:hAnsi="宋体"/>
          <w:b w:val="0"/>
          <w:bCs w:val="0"/>
          <w:sz w:val="24"/>
          <w:highlight w:val="none"/>
        </w:rPr>
      </w:pPr>
      <w:r>
        <w:rPr>
          <w:rFonts w:hint="eastAsia" w:ascii="宋体" w:hAnsi="宋体"/>
          <w:b w:val="0"/>
          <w:bCs w:val="0"/>
          <w:sz w:val="24"/>
          <w:highlight w:val="none"/>
          <w:lang w:val="en-US" w:eastAsia="zh-CN"/>
        </w:rPr>
        <w:t>10.4</w:t>
      </w:r>
      <w:r>
        <w:rPr>
          <w:rFonts w:hint="eastAsia" w:ascii="宋体" w:hAnsi="宋体"/>
          <w:b w:val="0"/>
          <w:bCs w:val="0"/>
          <w:sz w:val="24"/>
          <w:highlight w:val="none"/>
        </w:rPr>
        <w:t>现场作业人员应具有相关行业作业证书。电工作业人员必须具有在有效期内的高、低压电工作业证书、登高作业人员必须具有在有效期内的登高作业证书；</w:t>
      </w:r>
    </w:p>
    <w:p w14:paraId="38D1CC03">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 w:val="0"/>
          <w:bCs w:val="0"/>
          <w:sz w:val="24"/>
          <w:highlight w:val="none"/>
        </w:rPr>
      </w:pPr>
      <w:r>
        <w:rPr>
          <w:rFonts w:hint="eastAsia" w:ascii="宋体" w:hAnsi="宋体"/>
          <w:b w:val="0"/>
          <w:bCs w:val="0"/>
          <w:sz w:val="24"/>
          <w:highlight w:val="none"/>
          <w:lang w:val="en-US" w:eastAsia="zh-CN"/>
        </w:rPr>
        <w:t>10.5</w:t>
      </w:r>
      <w:r>
        <w:rPr>
          <w:rFonts w:hint="eastAsia" w:ascii="宋体" w:hAnsi="宋体"/>
          <w:b w:val="0"/>
          <w:bCs w:val="0"/>
          <w:sz w:val="24"/>
          <w:highlight w:val="none"/>
        </w:rPr>
        <w:t>维修作业前</w:t>
      </w:r>
      <w:r>
        <w:rPr>
          <w:rFonts w:hint="eastAsia" w:ascii="宋体" w:hAnsi="宋体" w:cs="宋体"/>
          <w:sz w:val="24"/>
          <w:szCs w:val="24"/>
          <w:lang w:val="en-US" w:eastAsia="zh-CN"/>
        </w:rPr>
        <w:t>办理相关的施工手续，施工前进行安全技术交底。做好安全防护。</w:t>
      </w:r>
      <w:r>
        <w:rPr>
          <w:rFonts w:hint="eastAsia" w:ascii="宋体" w:hAnsi="宋体"/>
          <w:b w:val="0"/>
          <w:bCs w:val="0"/>
          <w:sz w:val="24"/>
          <w:highlight w:val="none"/>
        </w:rPr>
        <w:t>现场作业人员进入现场必须穿劳保鞋、登高作业佩戴安全帽；</w:t>
      </w:r>
    </w:p>
    <w:p w14:paraId="24934C4A">
      <w:pPr>
        <w:numPr>
          <w:ilvl w:val="0"/>
          <w:numId w:val="0"/>
        </w:numPr>
        <w:tabs>
          <w:tab w:val="left" w:pos="640"/>
        </w:tabs>
        <w:spacing w:line="360" w:lineRule="auto"/>
        <w:rPr>
          <w:rFonts w:hint="eastAsia" w:ascii="宋体" w:hAnsi="宋体"/>
          <w:b w:val="0"/>
          <w:bCs w:val="0"/>
          <w:sz w:val="24"/>
          <w:highlight w:val="none"/>
          <w:lang w:eastAsia="zh-CN"/>
        </w:rPr>
      </w:pPr>
      <w:r>
        <w:rPr>
          <w:rFonts w:hint="eastAsia" w:ascii="宋体" w:hAnsi="宋体"/>
          <w:b w:val="0"/>
          <w:bCs w:val="0"/>
          <w:sz w:val="24"/>
          <w:highlight w:val="none"/>
          <w:lang w:val="en-US" w:eastAsia="zh-CN"/>
        </w:rPr>
        <w:t>10.6</w:t>
      </w:r>
      <w:r>
        <w:rPr>
          <w:rFonts w:hint="eastAsia" w:ascii="宋体" w:hAnsi="宋体"/>
          <w:b w:val="0"/>
          <w:bCs w:val="0"/>
          <w:sz w:val="24"/>
          <w:highlight w:val="none"/>
        </w:rPr>
        <w:t>现场施工要充分考虑防尘问题，施工过程中不能造成设备和周围环境尘土飞扬的情况</w:t>
      </w:r>
      <w:r>
        <w:rPr>
          <w:rFonts w:hint="eastAsia" w:ascii="宋体" w:hAnsi="宋体"/>
          <w:b w:val="0"/>
          <w:bCs w:val="0"/>
          <w:sz w:val="24"/>
          <w:highlight w:val="none"/>
          <w:lang w:eastAsia="zh-CN"/>
        </w:rPr>
        <w:t>。</w:t>
      </w:r>
    </w:p>
    <w:p w14:paraId="1D7BF962">
      <w:pPr>
        <w:pStyle w:val="70"/>
        <w:numPr>
          <w:ilvl w:val="0"/>
          <w:numId w:val="10"/>
        </w:numPr>
        <w:ind w:left="0" w:leftChars="0" w:firstLine="0" w:firstLineChars="0"/>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质量要求</w:t>
      </w:r>
    </w:p>
    <w:p w14:paraId="5EA99FB6">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1、</w:t>
      </w:r>
      <w:r>
        <w:rPr>
          <w:rFonts w:hint="eastAsia" w:ascii="宋体" w:hAnsi="宋体"/>
          <w:sz w:val="24"/>
          <w:highlight w:val="none"/>
        </w:rPr>
        <w:t xml:space="preserve">全部供货范围内的产品：设备、材料等，除合同特别约定外，其质保期均自终验收签字生效之日起 </w:t>
      </w:r>
      <w:r>
        <w:rPr>
          <w:rFonts w:hint="eastAsia" w:ascii="宋体" w:hAnsi="宋体"/>
          <w:sz w:val="24"/>
          <w:highlight w:val="none"/>
          <w:u w:val="single"/>
        </w:rPr>
        <w:t xml:space="preserve"> </w:t>
      </w:r>
      <w:r>
        <w:rPr>
          <w:rFonts w:hint="eastAsia" w:ascii="宋体" w:hAnsi="宋体"/>
          <w:sz w:val="24"/>
          <w:highlight w:val="none"/>
          <w:u w:val="single"/>
          <w:lang w:val="en-US" w:eastAsia="zh-CN"/>
        </w:rPr>
        <w:t>一</w:t>
      </w:r>
      <w:r>
        <w:rPr>
          <w:rFonts w:hint="eastAsia" w:ascii="宋体" w:hAnsi="宋体"/>
          <w:sz w:val="24"/>
          <w:highlight w:val="none"/>
          <w:u w:val="single"/>
        </w:rPr>
        <w:t xml:space="preserve"> </w:t>
      </w:r>
      <w:r>
        <w:rPr>
          <w:rFonts w:hint="eastAsia" w:ascii="宋体" w:hAnsi="宋体"/>
          <w:sz w:val="24"/>
          <w:highlight w:val="none"/>
        </w:rPr>
        <w:t>年。</w:t>
      </w:r>
    </w:p>
    <w:p w14:paraId="613D5D9B">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投标货物产品及施工工艺，如果有更长时间质保期，允许更改并说明，此将有利于投标方。</w:t>
      </w:r>
    </w:p>
    <w:p w14:paraId="16395A25">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设计使用寿命短于质保期的易损件除外，但属于易损件的，应当有明确说明。</w:t>
      </w:r>
    </w:p>
    <w:p w14:paraId="09E848AF">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质保期之内，如果施工某处或者多处发生开焊、脱漆等现象或其他维修行为，则质保期自更换或维修行为结束、设备重新正常运行使用之日起重新计算。</w:t>
      </w:r>
    </w:p>
    <w:p w14:paraId="4151FE7D">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质保期内免费提供附件、和及时有效的服务。质保期内因本身缺陷造成的各种故障，投标方应负责免费维修和服务。</w:t>
      </w:r>
    </w:p>
    <w:p w14:paraId="651E827C">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ascii="宋体" w:hAnsi="宋体"/>
          <w:sz w:val="24"/>
          <w:highlight w:val="none"/>
          <w:lang w:val="en-US" w:eastAsia="zh-CN"/>
        </w:rPr>
        <w:t>6、</w:t>
      </w:r>
      <w:r>
        <w:rPr>
          <w:rFonts w:hint="eastAsia" w:ascii="宋体" w:hAnsi="宋体"/>
          <w:sz w:val="24"/>
          <w:highlight w:val="none"/>
        </w:rPr>
        <w:t>质保期终止之日起</w:t>
      </w:r>
      <w:r>
        <w:rPr>
          <w:rFonts w:hint="eastAsia" w:ascii="宋体" w:hAnsi="宋体"/>
          <w:sz w:val="24"/>
          <w:highlight w:val="none"/>
          <w:lang w:val="en-US" w:eastAsia="zh-CN"/>
        </w:rPr>
        <w:t>一</w:t>
      </w:r>
      <w:r>
        <w:rPr>
          <w:rFonts w:hint="eastAsia" w:ascii="宋体" w:hAnsi="宋体"/>
          <w:sz w:val="24"/>
          <w:highlight w:val="none"/>
        </w:rPr>
        <w:t>年内重复出现的质保期之内出现的故障，仍属质保范围而且应当免费。</w:t>
      </w:r>
    </w:p>
    <w:bookmarkEnd w:id="16"/>
    <w:p w14:paraId="73E1D03B">
      <w:pPr>
        <w:pStyle w:val="7"/>
        <w:spacing w:line="360" w:lineRule="auto"/>
        <w:outlineLvl w:val="1"/>
        <w:rPr>
          <w:rFonts w:hint="eastAsia" w:ascii="黑体" w:eastAsia="黑体"/>
          <w:b/>
          <w:bCs/>
          <w:sz w:val="28"/>
        </w:rPr>
      </w:pPr>
      <w:r>
        <w:rPr>
          <w:rFonts w:hint="eastAsia" w:ascii="黑体" w:eastAsia="黑体"/>
          <w:b/>
          <w:bCs/>
          <w:sz w:val="28"/>
          <w:lang w:val="en-US" w:eastAsia="zh-CN"/>
        </w:rPr>
        <w:t>七、</w:t>
      </w:r>
      <w:r>
        <w:rPr>
          <w:rFonts w:hint="eastAsia" w:ascii="黑体" w:eastAsia="黑体"/>
          <w:b/>
          <w:bCs/>
          <w:sz w:val="28"/>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jc w:val="both"/>
        <w:textAlignment w:val="auto"/>
        <w:rPr>
          <w:rFonts w:hint="eastAsia" w:ascii="宋体" w:hAnsi="宋体" w:eastAsia="宋体" w:cs="宋体"/>
          <w:kern w:val="2"/>
          <w:sz w:val="24"/>
          <w:szCs w:val="24"/>
          <w:lang w:val="en-US" w:eastAsia="zh-CN" w:bidi="ar-SA"/>
        </w:rPr>
      </w:pPr>
      <w:bookmarkStart w:id="17" w:name="_Toc44077705"/>
      <w:bookmarkStart w:id="18" w:name="_Toc44077654"/>
      <w:bookmarkStart w:id="19" w:name="_Toc47031022"/>
      <w:r>
        <w:rPr>
          <w:rFonts w:hint="eastAsia" w:ascii="宋体" w:hAnsi="宋体" w:eastAsia="宋体" w:cs="宋体"/>
          <w:kern w:val="2"/>
          <w:sz w:val="24"/>
          <w:szCs w:val="24"/>
          <w:lang w:val="en-US" w:eastAsia="zh-CN" w:bidi="ar-SA"/>
        </w:rPr>
        <w:t>（一）验收及评价方法</w:t>
      </w:r>
    </w:p>
    <w:bookmarkEnd w:id="17"/>
    <w:bookmarkEnd w:id="18"/>
    <w:bookmarkEnd w:id="19"/>
    <w:p w14:paraId="5E3CCDCA">
      <w:pPr>
        <w:numPr>
          <w:ilvl w:val="0"/>
          <w:numId w:val="0"/>
        </w:numPr>
        <w:spacing w:line="360" w:lineRule="auto"/>
        <w:rPr>
          <w:rFonts w:hint="eastAsia"/>
          <w:sz w:val="24"/>
          <w:highlight w:val="none"/>
          <w:lang w:val="en-US" w:eastAsia="zh-CN"/>
        </w:rPr>
      </w:pPr>
      <w:r>
        <w:rPr>
          <w:rFonts w:hint="eastAsia" w:ascii="宋体" w:hAnsi="宋体" w:eastAsia="宋体" w:cs="宋体"/>
          <w:kern w:val="2"/>
          <w:sz w:val="24"/>
          <w:szCs w:val="24"/>
          <w:lang w:val="en-US" w:eastAsia="zh-CN" w:bidi="ar-SA"/>
        </w:rPr>
        <w:t>验收通过标准：</w:t>
      </w:r>
      <w:r>
        <w:rPr>
          <w:rFonts w:hint="eastAsia" w:ascii="宋体" w:hAnsi="宋体" w:cs="宋体"/>
          <w:kern w:val="2"/>
          <w:sz w:val="24"/>
          <w:szCs w:val="24"/>
          <w:lang w:val="en-US" w:eastAsia="zh-CN" w:bidi="ar-SA"/>
        </w:rPr>
        <w:t>确保12处</w:t>
      </w:r>
      <w:r>
        <w:rPr>
          <w:rFonts w:hint="eastAsia" w:ascii="宋体" w:hAnsi="宋体" w:eastAsia="宋体" w:cs="宋体"/>
          <w:kern w:val="2"/>
          <w:sz w:val="24"/>
          <w:szCs w:val="24"/>
          <w:lang w:val="en-US" w:eastAsia="zh-CN" w:bidi="ar-SA"/>
        </w:rPr>
        <w:t>事故排风系统与气体报警器联锁</w:t>
      </w:r>
      <w:r>
        <w:rPr>
          <w:rFonts w:hint="eastAsia"/>
          <w:sz w:val="24"/>
          <w:highlight w:val="none"/>
          <w:lang w:val="en-US" w:eastAsia="zh-CN"/>
        </w:rPr>
        <w:t>运转，符合《生产过程安全基本要求》（GB 12801-2025）、《工业建筑供暖通风与空气调节设计规范》（GB 50019-2015）相关要求。</w:t>
      </w:r>
    </w:p>
    <w:p w14:paraId="3A05F309">
      <w:pPr>
        <w:pStyle w:val="7"/>
        <w:spacing w:line="360" w:lineRule="auto"/>
        <w:outlineLvl w:val="1"/>
        <w:rPr>
          <w:rFonts w:hint="eastAsia" w:ascii="黑体" w:hAnsi="Courier New" w:eastAsia="黑体" w:cs="Times New Roman"/>
          <w:b/>
          <w:bCs/>
          <w:sz w:val="28"/>
        </w:rPr>
      </w:pPr>
      <w:r>
        <w:rPr>
          <w:rFonts w:hint="eastAsia" w:ascii="黑体" w:eastAsia="黑体" w:cs="Times New Roman"/>
          <w:b/>
          <w:bCs/>
          <w:sz w:val="28"/>
          <w:lang w:val="en-US" w:eastAsia="zh-CN"/>
        </w:rPr>
        <w:t>八</w:t>
      </w:r>
      <w:r>
        <w:rPr>
          <w:rFonts w:hint="eastAsia" w:ascii="黑体" w:hAnsi="Courier New" w:eastAsia="黑体" w:cs="Times New Roman"/>
          <w:b/>
          <w:bCs/>
          <w:sz w:val="28"/>
        </w:rPr>
        <w:t>、服务期限</w:t>
      </w:r>
    </w:p>
    <w:bookmarkEnd w:id="12"/>
    <w:p w14:paraId="6FE75B04">
      <w:pPr>
        <w:spacing w:before="50" w:line="360" w:lineRule="auto"/>
        <w:rPr>
          <w:rFonts w:hint="eastAsia" w:ascii="宋体" w:hAnsi="宋体" w:cs="宋体"/>
          <w:kern w:val="2"/>
          <w:sz w:val="24"/>
          <w:szCs w:val="24"/>
          <w:lang w:val="en-US" w:eastAsia="zh-CN" w:bidi="ar-SA"/>
        </w:rPr>
      </w:pPr>
      <w:r>
        <w:rPr>
          <w:rFonts w:hint="eastAsia" w:ascii="Arial" w:hAnsi="Arial"/>
          <w:spacing w:val="4"/>
          <w:lang w:val="en-US" w:eastAsia="zh-CN"/>
        </w:rPr>
        <w:t>1、</w:t>
      </w:r>
      <w:r>
        <w:rPr>
          <w:rFonts w:hint="eastAsia" w:ascii="Arial" w:hAnsi="Arial"/>
          <w:spacing w:val="4"/>
        </w:rPr>
        <w:t>总工期为：</w:t>
      </w:r>
      <w:r>
        <w:rPr>
          <w:rFonts w:hint="eastAsia" w:ascii="Arial" w:hAnsi="Arial"/>
          <w:spacing w:val="4"/>
          <w:lang w:val="en-US" w:eastAsia="zh-CN"/>
        </w:rPr>
        <w:t>30</w:t>
      </w:r>
      <w:r>
        <w:rPr>
          <w:rFonts w:hint="eastAsia" w:ascii="Arial" w:hAnsi="Arial"/>
          <w:spacing w:val="4"/>
        </w:rPr>
        <w:t>个日历日内完工。</w:t>
      </w:r>
      <w:r>
        <w:rPr>
          <w:rFonts w:hint="eastAsia" w:ascii="Arial" w:hAnsi="Arial"/>
          <w:spacing w:val="4"/>
        </w:rPr>
        <w:br w:type="textWrapping"/>
      </w:r>
      <w:r>
        <w:rPr>
          <w:rFonts w:hint="eastAsia" w:ascii="Arial" w:hAnsi="Arial"/>
          <w:spacing w:val="4"/>
          <w:lang w:val="en-US" w:eastAsia="zh-CN"/>
        </w:rPr>
        <w:t>签定合同后，根据甲方生产安排施工30</w:t>
      </w:r>
      <w:r>
        <w:rPr>
          <w:rFonts w:hint="eastAsia" w:ascii="Arial" w:hAnsi="Arial"/>
          <w:spacing w:val="4"/>
        </w:rPr>
        <w:t>个日历日之内完成</w:t>
      </w:r>
      <w:r>
        <w:rPr>
          <w:rFonts w:hint="eastAsia" w:ascii="Arial" w:hAnsi="Arial"/>
          <w:spacing w:val="4"/>
          <w:lang w:eastAsia="zh-CN"/>
        </w:rPr>
        <w:t>。</w:t>
      </w:r>
      <w:r>
        <w:rPr>
          <w:rFonts w:hint="eastAsia" w:ascii="Arial" w:hAnsi="Arial"/>
          <w:spacing w:val="4"/>
        </w:rPr>
        <w:t>（投标文件“供货时间”中，应明确说明各阶段工作最终完成时间）。</w:t>
      </w:r>
      <w:r>
        <w:rPr>
          <w:rFonts w:hint="eastAsia" w:ascii="宋体" w:hAnsi="宋体"/>
          <w:b/>
          <w:bCs/>
        </w:rPr>
        <w:br w:type="textWrapping"/>
      </w:r>
      <w:r>
        <w:rPr>
          <w:rFonts w:hint="eastAsia" w:ascii="宋体" w:hAnsi="宋体" w:cs="宋体"/>
          <w:kern w:val="2"/>
          <w:sz w:val="24"/>
          <w:szCs w:val="24"/>
          <w:lang w:val="en-US" w:eastAsia="zh-CN" w:bidi="ar-SA"/>
        </w:rPr>
        <w:t>2、应急服务时间</w:t>
      </w:r>
    </w:p>
    <w:p w14:paraId="470DD685">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2.1在质保期之内，如发现投标方所提供的设备（或材料）存在问题，需要投标方配合解决时，承揽方须在接到通知后市内</w:t>
      </w:r>
      <w:r>
        <w:rPr>
          <w:rFonts w:hint="eastAsia" w:ascii="宋体" w:hAnsi="宋体" w:cs="宋体"/>
          <w:kern w:val="2"/>
          <w:sz w:val="24"/>
          <w:szCs w:val="24"/>
          <w:u w:val="single"/>
          <w:lang w:val="en-US" w:eastAsia="zh-CN" w:bidi="ar-SA"/>
        </w:rPr>
        <w:t xml:space="preserve"> 2  </w:t>
      </w:r>
      <w:r>
        <w:rPr>
          <w:rFonts w:hint="eastAsia" w:ascii="宋体" w:hAnsi="宋体" w:cs="宋体"/>
          <w:kern w:val="2"/>
          <w:sz w:val="24"/>
          <w:szCs w:val="24"/>
          <w:lang w:val="en-US" w:eastAsia="zh-CN" w:bidi="ar-SA"/>
        </w:rPr>
        <w:t>、省内</w:t>
      </w:r>
      <w:r>
        <w:rPr>
          <w:rFonts w:hint="eastAsia" w:ascii="宋体" w:hAnsi="宋体" w:cs="宋体"/>
          <w:kern w:val="2"/>
          <w:sz w:val="24"/>
          <w:szCs w:val="24"/>
          <w:u w:val="single"/>
          <w:lang w:val="en-US" w:eastAsia="zh-CN" w:bidi="ar-SA"/>
        </w:rPr>
        <w:t xml:space="preserve">  8 </w:t>
      </w:r>
      <w:r>
        <w:rPr>
          <w:rFonts w:hint="eastAsia" w:ascii="宋体" w:hAnsi="宋体" w:cs="宋体"/>
          <w:kern w:val="2"/>
          <w:sz w:val="24"/>
          <w:szCs w:val="24"/>
          <w:lang w:val="en-US" w:eastAsia="zh-CN" w:bidi="ar-SA"/>
        </w:rPr>
        <w:t xml:space="preserve"> 、省外</w:t>
      </w:r>
      <w:r>
        <w:rPr>
          <w:rFonts w:hint="eastAsia" w:ascii="宋体" w:hAnsi="宋体" w:cs="宋体"/>
          <w:kern w:val="2"/>
          <w:sz w:val="24"/>
          <w:szCs w:val="24"/>
          <w:u w:val="single"/>
          <w:lang w:val="en-US" w:eastAsia="zh-CN" w:bidi="ar-SA"/>
        </w:rPr>
        <w:t xml:space="preserve">  24  </w:t>
      </w:r>
      <w:r>
        <w:rPr>
          <w:rFonts w:hint="eastAsia" w:ascii="宋体" w:hAnsi="宋体" w:cs="宋体"/>
          <w:kern w:val="2"/>
          <w:sz w:val="24"/>
          <w:szCs w:val="24"/>
          <w:lang w:val="en-US" w:eastAsia="zh-CN" w:bidi="ar-SA"/>
        </w:rPr>
        <w:t>小时内派有关人员到达现场，解决问题；</w:t>
      </w:r>
    </w:p>
    <w:p w14:paraId="2B0BB363">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2.2在质保期之后，如发现投标方所提供的设备（或材料）存在问题，需要投标方配合解决时，投标方须在接到通知后市内</w:t>
      </w:r>
      <w:r>
        <w:rPr>
          <w:rFonts w:hint="eastAsia" w:ascii="宋体" w:hAnsi="宋体" w:cs="宋体"/>
          <w:kern w:val="2"/>
          <w:sz w:val="24"/>
          <w:szCs w:val="24"/>
          <w:u w:val="single"/>
          <w:lang w:val="en-US" w:eastAsia="zh-CN" w:bidi="ar-SA"/>
        </w:rPr>
        <w:t xml:space="preserve"> 2 </w:t>
      </w:r>
      <w:r>
        <w:rPr>
          <w:rFonts w:hint="eastAsia" w:ascii="宋体" w:hAnsi="宋体" w:cs="宋体"/>
          <w:kern w:val="2"/>
          <w:sz w:val="24"/>
          <w:szCs w:val="24"/>
          <w:lang w:val="en-US" w:eastAsia="zh-CN" w:bidi="ar-SA"/>
        </w:rPr>
        <w:t xml:space="preserve"> 、省内</w:t>
      </w:r>
      <w:r>
        <w:rPr>
          <w:rFonts w:hint="eastAsia" w:ascii="宋体" w:hAnsi="宋体" w:cs="宋体"/>
          <w:kern w:val="2"/>
          <w:sz w:val="24"/>
          <w:szCs w:val="24"/>
          <w:u w:val="single"/>
          <w:lang w:val="en-US" w:eastAsia="zh-CN" w:bidi="ar-SA"/>
        </w:rPr>
        <w:t xml:space="preserve">  8 </w:t>
      </w:r>
      <w:r>
        <w:rPr>
          <w:rFonts w:hint="eastAsia" w:ascii="宋体" w:hAnsi="宋体" w:cs="宋体"/>
          <w:kern w:val="2"/>
          <w:sz w:val="24"/>
          <w:szCs w:val="24"/>
          <w:lang w:val="en-US" w:eastAsia="zh-CN" w:bidi="ar-SA"/>
        </w:rPr>
        <w:t xml:space="preserve"> 、省外</w:t>
      </w:r>
      <w:r>
        <w:rPr>
          <w:rFonts w:hint="eastAsia" w:ascii="宋体" w:hAnsi="宋体" w:cs="宋体"/>
          <w:kern w:val="2"/>
          <w:sz w:val="24"/>
          <w:szCs w:val="24"/>
          <w:u w:val="single"/>
          <w:lang w:val="en-US" w:eastAsia="zh-CN" w:bidi="ar-SA"/>
        </w:rPr>
        <w:t xml:space="preserve">  24  </w:t>
      </w:r>
      <w:r>
        <w:rPr>
          <w:rFonts w:hint="eastAsia" w:ascii="宋体" w:hAnsi="宋体" w:cs="宋体"/>
          <w:kern w:val="2"/>
          <w:sz w:val="24"/>
          <w:szCs w:val="24"/>
          <w:lang w:val="en-US" w:eastAsia="zh-CN" w:bidi="ar-SA"/>
        </w:rPr>
        <w:t>小时内派有关人员到达现场，协助委托方解决问题；</w:t>
      </w:r>
    </w:p>
    <w:p w14:paraId="533A6F10">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2.3所有的售后服务均由承揽方受理。如果发生问题并且收到报告，应当在2小时内予以答复。</w:t>
      </w:r>
      <w:r>
        <w:rPr>
          <w:rFonts w:hint="eastAsia" w:ascii="宋体" w:hAnsi="宋体" w:cs="宋体"/>
          <w:kern w:val="2"/>
          <w:sz w:val="24"/>
          <w:szCs w:val="24"/>
          <w:lang w:val="en-US" w:eastAsia="zh-CN" w:bidi="ar-SA"/>
        </w:rPr>
        <w:br w:type="textWrapping"/>
      </w:r>
      <w:r>
        <w:rPr>
          <w:rFonts w:hint="eastAsia" w:ascii="宋体" w:hAnsi="宋体" w:cs="宋体"/>
          <w:kern w:val="2"/>
          <w:sz w:val="24"/>
          <w:szCs w:val="24"/>
          <w:lang w:val="en-US" w:eastAsia="zh-CN" w:bidi="ar-SA"/>
        </w:rPr>
        <w:t>3、质保期</w:t>
      </w:r>
    </w:p>
    <w:p w14:paraId="740C1E5B">
      <w:pPr>
        <w:spacing w:before="50" w:line="360" w:lineRule="auto"/>
        <w:rPr>
          <w:rFonts w:hint="eastAsia" w:ascii="Arial" w:hAnsi="Arial"/>
          <w:spacing w:val="4"/>
          <w:lang w:val="en-US" w:eastAsia="zh-CN"/>
        </w:rPr>
      </w:pPr>
      <w:r>
        <w:rPr>
          <w:rFonts w:hint="eastAsia" w:ascii="宋体" w:hAnsi="宋体" w:cs="宋体"/>
          <w:kern w:val="2"/>
          <w:sz w:val="24"/>
          <w:szCs w:val="24"/>
          <w:lang w:val="en-US" w:eastAsia="zh-CN" w:bidi="ar-SA"/>
        </w:rPr>
        <w:t>本项目自竣工验收通过之日起不少于十二个月。施工方对项目维修质量负责包修。在质保期内，承包内容出现的任何质量问题，施工方在接到业主的通知后最晚24小时内到达现场整改，并按要求期限整改完毕。费用由责任方承担。</w:t>
      </w:r>
      <w:r>
        <w:rPr>
          <w:rFonts w:hint="eastAsia" w:ascii="宋体" w:hAnsi="宋体" w:cs="宋体"/>
          <w:kern w:val="2"/>
          <w:sz w:val="24"/>
          <w:szCs w:val="24"/>
          <w:lang w:val="en-US" w:eastAsia="zh-CN" w:bidi="ar-SA"/>
        </w:rPr>
        <w:br w:type="textWrapping"/>
      </w:r>
      <w:r>
        <w:rPr>
          <w:rFonts w:hint="eastAsia" w:ascii="黑体" w:hAnsi="Courier New" w:eastAsia="黑体" w:cs="Times New Roman"/>
          <w:b/>
          <w:bCs/>
          <w:kern w:val="2"/>
          <w:sz w:val="28"/>
          <w:lang w:val="en-US" w:eastAsia="zh-CN" w:bidi="ar-SA"/>
        </w:rPr>
        <w:t>九、责任</w:t>
      </w:r>
    </w:p>
    <w:p w14:paraId="3B5D3CF4">
      <w:pPr>
        <w:numPr>
          <w:ilvl w:val="0"/>
          <w:numId w:val="0"/>
        </w:numPr>
        <w:spacing w:line="360" w:lineRule="auto"/>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1、</w:t>
      </w:r>
      <w:r>
        <w:rPr>
          <w:rFonts w:hint="eastAsia" w:ascii="宋体" w:hAnsi="宋体" w:eastAsia="宋体" w:cs="Times New Roman"/>
          <w:sz w:val="24"/>
          <w:highlight w:val="none"/>
          <w:lang w:val="en-US" w:eastAsia="zh-CN"/>
        </w:rPr>
        <w:t>投标单位在接到电话后未及时到达现场的，一次考核</w:t>
      </w:r>
      <w:r>
        <w:rPr>
          <w:rFonts w:hint="default" w:ascii="宋体" w:hAnsi="宋体" w:eastAsia="宋体" w:cs="Times New Roman"/>
          <w:sz w:val="24"/>
          <w:highlight w:val="none"/>
          <w:lang w:val="en-US" w:eastAsia="zh-CN"/>
        </w:rPr>
        <w:t>500</w:t>
      </w:r>
      <w:r>
        <w:rPr>
          <w:rFonts w:hint="eastAsia" w:ascii="宋体" w:hAnsi="宋体" w:eastAsia="宋体" w:cs="Times New Roman"/>
          <w:sz w:val="24"/>
          <w:highlight w:val="none"/>
          <w:lang w:val="en-US" w:eastAsia="zh-CN"/>
        </w:rPr>
        <w:t>元。停电造成严重后果的根据招标单位的损失加倍考核。</w:t>
      </w:r>
    </w:p>
    <w:p w14:paraId="6DE391A9">
      <w:pPr>
        <w:numPr>
          <w:ilvl w:val="0"/>
          <w:numId w:val="0"/>
        </w:numPr>
        <w:spacing w:line="360" w:lineRule="auto"/>
        <w:rPr>
          <w:rFonts w:hint="default" w:ascii="宋体" w:hAnsi="宋体" w:eastAsia="宋体" w:cs="Times New Roman"/>
          <w:sz w:val="24"/>
          <w:highlight w:val="none"/>
          <w:lang w:val="en-US" w:eastAsia="zh-CN"/>
        </w:rPr>
      </w:pPr>
    </w:p>
    <w:p w14:paraId="3D15DC62">
      <w:pPr>
        <w:pStyle w:val="70"/>
        <w:rPr>
          <w:rFonts w:hint="default"/>
          <w:lang w:val="en-US" w:eastAsia="zh-CN"/>
        </w:rPr>
      </w:pPr>
    </w:p>
    <w:p w14:paraId="1BA7E38A">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textWrapping"/>
      </w:r>
    </w:p>
    <w:p w14:paraId="228CB567">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 w:name="_Toc639004"/>
      <w:bookmarkStart w:id="21" w:name="_Toc212369550"/>
      <w:bookmarkStart w:id="22" w:name="_Toc25811"/>
      <w:bookmarkStart w:id="23"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0"/>
      <w:bookmarkEnd w:id="21"/>
      <w:bookmarkEnd w:id="22"/>
      <w:bookmarkEnd w:id="23"/>
    </w:p>
    <w:p w14:paraId="4226417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44C2BD63">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2E7BF51D">
      <w:pPr>
        <w:widowControl/>
        <w:spacing w:line="480" w:lineRule="exact"/>
        <w:ind w:firstLine="480"/>
        <w:jc w:val="left"/>
        <w:rPr>
          <w:rFonts w:hAnsi="Times New Roman"/>
          <w:color w:val="000000"/>
          <w:sz w:val="24"/>
          <w:szCs w:val="24"/>
        </w:rPr>
      </w:pPr>
    </w:p>
    <w:p w14:paraId="7B2F8111">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66D2D8EB">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1F738AE0">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20629577">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7EDC9307">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73255388">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1ACE630F">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579F45AF">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49DA9F99">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795F2A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6EA7DA3E">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761B8A04">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7CDF68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4511FD36">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0C4B8B7E">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4C7D5DB4">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28CB4495">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3EC05D3C">
      <w:pPr>
        <w:widowControl/>
        <w:spacing w:line="480" w:lineRule="exact"/>
        <w:ind w:left="420"/>
        <w:jc w:val="left"/>
        <w:rPr>
          <w:rFonts w:hAnsi="Times New Roman"/>
          <w:color w:val="000000"/>
          <w:sz w:val="24"/>
          <w:szCs w:val="24"/>
        </w:rPr>
      </w:pPr>
    </w:p>
    <w:p w14:paraId="73C3DA56">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4757E12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142083F6">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92A152C">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28C1F56B">
      <w:pPr>
        <w:rPr>
          <w:rFonts w:ascii="黑体" w:hAnsi="Calibri" w:eastAsia="黑体" w:cs="Times New Roman"/>
          <w:color w:val="000000"/>
          <w:sz w:val="24"/>
          <w:szCs w:val="24"/>
        </w:rPr>
      </w:pPr>
    </w:p>
    <w:p w14:paraId="69DD60BE">
      <w:pPr>
        <w:pStyle w:val="7"/>
        <w:rPr>
          <w:rFonts w:ascii="黑体" w:hAnsi="Calibri" w:eastAsia="黑体" w:cs="Times New Roman"/>
          <w:color w:val="000000"/>
          <w:sz w:val="24"/>
          <w:szCs w:val="24"/>
        </w:rPr>
      </w:pPr>
    </w:p>
    <w:p w14:paraId="3CA332A9">
      <w:pPr>
        <w:pStyle w:val="7"/>
        <w:rPr>
          <w:rFonts w:ascii="黑体" w:hAnsi="Calibri" w:eastAsia="黑体" w:cs="Times New Roman"/>
          <w:color w:val="000000"/>
          <w:sz w:val="24"/>
          <w:szCs w:val="24"/>
        </w:rPr>
      </w:pPr>
    </w:p>
    <w:p w14:paraId="0E68CCB8">
      <w:pPr>
        <w:pStyle w:val="7"/>
        <w:rPr>
          <w:rFonts w:ascii="黑体" w:hAnsi="Calibri" w:eastAsia="黑体" w:cs="Times New Roman"/>
          <w:color w:val="000000"/>
          <w:sz w:val="24"/>
          <w:szCs w:val="24"/>
        </w:rPr>
      </w:pPr>
    </w:p>
    <w:p w14:paraId="719F9883">
      <w:pPr>
        <w:pStyle w:val="7"/>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5CE02F3D">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4"/>
        <w:tblW w:w="0" w:type="auto"/>
        <w:jc w:val="center"/>
        <w:tblLayout w:type="fixed"/>
        <w:tblCellMar>
          <w:top w:w="0" w:type="dxa"/>
          <w:left w:w="0" w:type="dxa"/>
          <w:bottom w:w="0" w:type="dxa"/>
          <w:right w:w="0" w:type="dxa"/>
        </w:tblCellMar>
      </w:tblPr>
      <w:tblGrid>
        <w:gridCol w:w="3694"/>
        <w:gridCol w:w="4794"/>
      </w:tblGrid>
      <w:tr w14:paraId="2ABCCBA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1CE22">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F0A26">
            <w:pPr>
              <w:widowControl/>
              <w:spacing w:before="120"/>
              <w:jc w:val="center"/>
            </w:pPr>
          </w:p>
        </w:tc>
      </w:tr>
      <w:tr w14:paraId="554D6C20">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10836A">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753C9C">
            <w:pPr>
              <w:widowControl/>
              <w:spacing w:before="120"/>
              <w:jc w:val="center"/>
              <w:rPr>
                <w:rFonts w:hint="default" w:eastAsia="宋体"/>
                <w:color w:val="000000"/>
                <w:sz w:val="24"/>
                <w:szCs w:val="24"/>
                <w:lang w:val="en-US" w:eastAsia="zh-CN"/>
              </w:rPr>
            </w:pPr>
            <w:r>
              <w:rPr>
                <w:rFonts w:hint="eastAsia"/>
                <w:color w:val="000000"/>
                <w:sz w:val="24"/>
                <w:szCs w:val="24"/>
                <w:lang w:val="en-US" w:eastAsia="zh-CN"/>
              </w:rPr>
              <w:t>事故风机与报警装置联锁改造项目</w:t>
            </w:r>
          </w:p>
        </w:tc>
      </w:tr>
      <w:tr w14:paraId="40D73223">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5C1D42">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D0ACFF">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含税价：xxx.xx元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6E943B5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9E9370">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333555">
            <w:pPr>
              <w:widowControl/>
              <w:spacing w:before="120"/>
              <w:jc w:val="center"/>
              <w:rPr>
                <w:color w:val="000000"/>
                <w:sz w:val="24"/>
                <w:szCs w:val="24"/>
              </w:rPr>
            </w:pPr>
          </w:p>
        </w:tc>
      </w:tr>
      <w:tr w14:paraId="04C7C6AA">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6311B7">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380F7">
            <w:pPr>
              <w:widowControl/>
              <w:spacing w:before="120"/>
              <w:jc w:val="center"/>
              <w:rPr>
                <w:color w:val="000000"/>
                <w:sz w:val="24"/>
                <w:szCs w:val="24"/>
              </w:rPr>
            </w:pPr>
          </w:p>
        </w:tc>
      </w:tr>
      <w:tr w14:paraId="3E6EC6B5">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7CDC87">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8D33D4">
            <w:pPr>
              <w:widowControl/>
              <w:spacing w:before="120"/>
              <w:jc w:val="center"/>
              <w:rPr>
                <w:color w:val="000000"/>
                <w:sz w:val="24"/>
                <w:szCs w:val="24"/>
              </w:rPr>
            </w:pPr>
          </w:p>
        </w:tc>
      </w:tr>
      <w:tr w14:paraId="53ECF8D6">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2006F4">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0DEA6F">
            <w:pPr>
              <w:widowControl/>
              <w:spacing w:before="120"/>
              <w:jc w:val="center"/>
              <w:rPr>
                <w:color w:val="000000"/>
                <w:sz w:val="24"/>
                <w:szCs w:val="24"/>
              </w:rPr>
            </w:pPr>
          </w:p>
        </w:tc>
      </w:tr>
    </w:tbl>
    <w:p w14:paraId="6C0F5D30">
      <w:pPr>
        <w:widowControl/>
        <w:spacing w:before="120"/>
        <w:jc w:val="center"/>
        <w:rPr>
          <w:color w:val="000000"/>
          <w:sz w:val="24"/>
          <w:szCs w:val="24"/>
        </w:rPr>
      </w:pPr>
      <w:r>
        <w:rPr>
          <w:color w:val="000000"/>
          <w:sz w:val="24"/>
          <w:szCs w:val="24"/>
        </w:rPr>
        <w:t xml:space="preserve">           </w:t>
      </w:r>
    </w:p>
    <w:p w14:paraId="6D333849">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2EA0D446">
      <w:pPr>
        <w:widowControl/>
        <w:spacing w:before="120" w:line="480" w:lineRule="exact"/>
        <w:jc w:val="center"/>
        <w:rPr>
          <w:color w:val="000000"/>
          <w:sz w:val="24"/>
          <w:szCs w:val="24"/>
        </w:rPr>
      </w:pPr>
    </w:p>
    <w:p w14:paraId="184816F0">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0C5133BD">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33628374">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235F28C">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349D84CD">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投标设备（或材料）配置一览表           单位：元</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6"/>
        <w:gridCol w:w="1193"/>
        <w:gridCol w:w="1252"/>
        <w:gridCol w:w="1095"/>
        <w:gridCol w:w="660"/>
        <w:gridCol w:w="645"/>
        <w:gridCol w:w="630"/>
        <w:gridCol w:w="945"/>
        <w:gridCol w:w="959"/>
        <w:gridCol w:w="1314"/>
      </w:tblGrid>
      <w:tr w14:paraId="71C7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F9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E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安装位置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B4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E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A00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品牌</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B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D5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B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未税单价(元）</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8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未税小计(元)</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0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CA3E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0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B8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莱芜污水站(压泥间、污泥浓缩、临时存放间)</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29E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E1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5C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8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C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D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5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7E19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8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380BA">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49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B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63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7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E0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02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C7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2D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0E0EE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2D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30CD1">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83A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5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0B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4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C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6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6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3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3294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A1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C3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莱芜综合站房锅炉房</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0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A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D7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66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8EB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087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C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A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47A4E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F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8FF94">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E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F3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521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D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44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AD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9A2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5A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6BF83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5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F354C">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15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98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3D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64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4D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26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147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00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59D55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6C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DC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党家污水站(压泥间、污泥干化)</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2B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EB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3AA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7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1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A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7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0DB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176C3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99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884F5">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6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0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38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2E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31F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8A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07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0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15EE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77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6BCD">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DE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74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C23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8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E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E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E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8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5F05C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B2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FCAAF">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D7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排烟风机</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E8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依据现有排风机尺寸进行更换</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D8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4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11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48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58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含拆除安装</w:t>
            </w:r>
          </w:p>
        </w:tc>
      </w:tr>
      <w:tr w14:paraId="4C819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755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27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党家预处理(压泥间、预处理)</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E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63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E0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B6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1F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BF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C2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DA6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004F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C5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B2742">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71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1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D13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0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F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1E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F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D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6CB5E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7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3B81A">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28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10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4C8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781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2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08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70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C7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311CC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33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8E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党家天然气站</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B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F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680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2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7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72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E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1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0DF4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F9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95E1">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B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5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9B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D7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18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7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8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2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1C45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E36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67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党家车架阀门间</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AA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B3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14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E5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B9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73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A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22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4DC31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CA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FAA89">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CD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88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025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BD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9F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3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8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B2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2111F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B86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33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党家锅炉房</w:t>
            </w:r>
            <w:r>
              <w:rPr>
                <w:rStyle w:val="75"/>
                <w:rFonts w:hint="eastAsia" w:ascii="宋体" w:hAnsi="宋体" w:eastAsia="宋体" w:cs="宋体"/>
                <w:sz w:val="24"/>
                <w:szCs w:val="24"/>
                <w:lang w:val="en-US" w:eastAsia="zh-CN" w:bidi="ar"/>
              </w:rPr>
              <w:t>(</w:t>
            </w:r>
            <w:r>
              <w:rPr>
                <w:rStyle w:val="76"/>
                <w:rFonts w:hint="eastAsia" w:ascii="宋体" w:hAnsi="宋体" w:eastAsia="宋体" w:cs="宋体"/>
                <w:sz w:val="24"/>
                <w:szCs w:val="24"/>
                <w:lang w:val="en-US" w:eastAsia="zh-CN" w:bidi="ar"/>
              </w:rPr>
              <w:t>蒸汽锅炉、热水锅炉</w:t>
            </w:r>
            <w:r>
              <w:rPr>
                <w:rStyle w:val="75"/>
                <w:rFonts w:hint="eastAsia" w:ascii="宋体" w:hAnsi="宋体" w:eastAsia="宋体" w:cs="宋体"/>
                <w:sz w:val="24"/>
                <w:szCs w:val="24"/>
                <w:lang w:val="en-US" w:eastAsia="zh-CN" w:bidi="ar"/>
              </w:rPr>
              <w:t xml:space="preserve"> )</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29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9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4E2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B2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E8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EC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50B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41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4A5B7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7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BB4DE">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7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1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60E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20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6F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A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C2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B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7258B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7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B244F">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8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B7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E1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85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20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31C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ED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0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7207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577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FF0E9">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B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防爆排烟风机</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53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依据现有排风机尺寸进行更换</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2D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2F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9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78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B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3D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含拆除安装</w:t>
            </w:r>
          </w:p>
        </w:tc>
      </w:tr>
      <w:tr w14:paraId="3379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F4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2E5A">
            <w:pPr>
              <w:jc w:val="left"/>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7A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辅材</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53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切割片、卡子、接地线</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3A3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D52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6C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43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57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AC3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6C94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1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8611">
            <w:pPr>
              <w:jc w:val="left"/>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1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租赁液压升降车</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39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14m</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EA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FC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82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AD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DC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6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8小时/台班</w:t>
            </w:r>
          </w:p>
        </w:tc>
      </w:tr>
      <w:tr w14:paraId="4A1D7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245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5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5CF5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未税合计/元</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5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07098">
            <w:pPr>
              <w:jc w:val="center"/>
              <w:rPr>
                <w:rFonts w:hint="eastAsia" w:ascii="宋体" w:hAnsi="宋体" w:eastAsia="宋体" w:cs="宋体"/>
                <w:i w:val="0"/>
                <w:iCs w:val="0"/>
                <w:color w:val="000000"/>
                <w:sz w:val="24"/>
                <w:szCs w:val="24"/>
                <w:u w:val="none"/>
              </w:rPr>
            </w:pPr>
          </w:p>
        </w:tc>
      </w:tr>
      <w:tr w14:paraId="125B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A6B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5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D01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利润费用 （？%）</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54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00DDB">
            <w:pPr>
              <w:jc w:val="center"/>
              <w:rPr>
                <w:rFonts w:hint="eastAsia" w:ascii="宋体" w:hAnsi="宋体" w:eastAsia="宋体" w:cs="宋体"/>
                <w:i w:val="0"/>
                <w:iCs w:val="0"/>
                <w:color w:val="000000"/>
                <w:sz w:val="24"/>
                <w:szCs w:val="24"/>
                <w:u w:val="none"/>
              </w:rPr>
            </w:pPr>
          </w:p>
        </w:tc>
      </w:tr>
      <w:tr w14:paraId="37D5C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CE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5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46B0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含税总价/元</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DC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8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税率</w:t>
            </w:r>
            <w:r>
              <w:rPr>
                <w:rStyle w:val="75"/>
                <w:rFonts w:hint="eastAsia" w:ascii="宋体" w:hAnsi="宋体" w:eastAsia="宋体" w:cs="宋体"/>
                <w:sz w:val="24"/>
                <w:szCs w:val="24"/>
                <w:lang w:val="en-US" w:eastAsia="zh-CN" w:bidi="ar"/>
              </w:rPr>
              <w:t>？%</w:t>
            </w:r>
          </w:p>
        </w:tc>
      </w:tr>
    </w:tbl>
    <w:p w14:paraId="3EC3FDC9">
      <w:pPr>
        <w:pStyle w:val="6"/>
        <w:rPr>
          <w:sz w:val="24"/>
          <w:szCs w:val="24"/>
        </w:rPr>
      </w:pPr>
    </w:p>
    <w:p w14:paraId="29448621">
      <w:pPr>
        <w:pStyle w:val="6"/>
        <w:rPr>
          <w:sz w:val="24"/>
          <w:szCs w:val="24"/>
        </w:rPr>
      </w:pPr>
    </w:p>
    <w:p w14:paraId="6FBC912A">
      <w:pPr>
        <w:pStyle w:val="6"/>
        <w:rPr>
          <w:sz w:val="24"/>
          <w:szCs w:val="24"/>
        </w:rPr>
      </w:pPr>
    </w:p>
    <w:p w14:paraId="50B2362A">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0BEE83AC">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689B9C1C">
      <w:pPr>
        <w:widowControl/>
        <w:spacing w:line="480" w:lineRule="exact"/>
        <w:jc w:val="left"/>
        <w:rPr>
          <w:sz w:val="24"/>
          <w:szCs w:val="24"/>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7927A38D">
      <w:pPr>
        <w:widowControl/>
        <w:spacing w:line="480" w:lineRule="exact"/>
        <w:ind w:firstLine="482"/>
        <w:jc w:val="left"/>
        <w:rPr>
          <w:rFonts w:ascii="黑体" w:hAnsi="Times New Roman" w:eastAsia="黑体"/>
          <w:b/>
          <w:sz w:val="32"/>
        </w:rPr>
      </w:pPr>
    </w:p>
    <w:p w14:paraId="735D0378">
      <w:pPr>
        <w:widowControl/>
        <w:spacing w:line="360" w:lineRule="auto"/>
        <w:ind w:firstLine="360"/>
        <w:jc w:val="left"/>
      </w:pPr>
    </w:p>
    <w:p w14:paraId="5DE3868F">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4C2FD048">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0592AEF3">
      <w:pPr>
        <w:widowControl/>
        <w:spacing w:line="500" w:lineRule="exact"/>
        <w:jc w:val="left"/>
        <w:rPr>
          <w:rFonts w:ascii="Times New Roman" w:hAnsi="Times New Roman"/>
          <w:b/>
          <w:color w:val="000000"/>
        </w:rPr>
      </w:pPr>
    </w:p>
    <w:p w14:paraId="1E56122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b/>
          <w:color w:val="000000"/>
          <w:sz w:val="24"/>
          <w:szCs w:val="24"/>
          <w:u w:val="single"/>
          <w:lang w:val="en-US" w:eastAsia="zh-CN"/>
        </w:rPr>
        <w:t>事故风机与报警装置联锁改造项目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0B5230E4">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24D8E562">
      <w:pPr>
        <w:widowControl/>
        <w:spacing w:line="480" w:lineRule="exact"/>
        <w:jc w:val="left"/>
        <w:rPr>
          <w:rFonts w:ascii="Times New Roman" w:hAnsi="Times New Roman"/>
          <w:b/>
          <w:color w:val="000000"/>
          <w:sz w:val="24"/>
          <w:szCs w:val="24"/>
        </w:rPr>
      </w:pPr>
    </w:p>
    <w:p w14:paraId="78BB8163">
      <w:pPr>
        <w:widowControl/>
        <w:spacing w:line="480" w:lineRule="exact"/>
        <w:jc w:val="left"/>
        <w:rPr>
          <w:rFonts w:ascii="Times New Roman" w:hAnsi="Times New Roman"/>
          <w:b/>
          <w:color w:val="000000"/>
          <w:sz w:val="24"/>
          <w:szCs w:val="24"/>
        </w:rPr>
      </w:pPr>
    </w:p>
    <w:p w14:paraId="4A52552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4CC58C9">
      <w:pPr>
        <w:widowControl/>
        <w:spacing w:line="480" w:lineRule="exact"/>
        <w:jc w:val="left"/>
        <w:rPr>
          <w:rFonts w:hAnsi="Times New Roman"/>
          <w:color w:val="000000"/>
          <w:sz w:val="24"/>
          <w:szCs w:val="24"/>
        </w:rPr>
      </w:pPr>
    </w:p>
    <w:p w14:paraId="573FEC95">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C5E7BAC">
      <w:pPr>
        <w:widowControl/>
        <w:spacing w:line="480" w:lineRule="exact"/>
        <w:jc w:val="left"/>
        <w:rPr>
          <w:rFonts w:ascii="Times New Roman" w:hAnsi="Times New Roman"/>
          <w:b/>
          <w:color w:val="000000"/>
          <w:sz w:val="24"/>
          <w:szCs w:val="24"/>
          <w:u w:val="single"/>
        </w:rPr>
      </w:pPr>
    </w:p>
    <w:p w14:paraId="28FE69ED">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233CF06A">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99CEC4F">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78AC03D9">
      <w:pPr>
        <w:widowControl/>
        <w:spacing w:line="500" w:lineRule="exact"/>
        <w:jc w:val="left"/>
        <w:rPr>
          <w:rFonts w:hint="eastAsia"/>
          <w:lang w:val="en-US" w:eastAsia="zh-CN"/>
        </w:rPr>
      </w:pPr>
    </w:p>
    <w:p w14:paraId="151FD56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5BC715CC">
      <w:pPr>
        <w:widowControl/>
        <w:ind w:left="420"/>
        <w:jc w:val="left"/>
        <w:rPr>
          <w:rFonts w:ascii="Times New Roman" w:hAnsi="Times New Roman"/>
          <w:color w:val="000000"/>
        </w:rPr>
      </w:pPr>
    </w:p>
    <w:p w14:paraId="01CE2917">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b/>
          <w:color w:val="000000"/>
          <w:sz w:val="24"/>
          <w:szCs w:val="24"/>
          <w:u w:val="single"/>
          <w:lang w:val="en-US" w:eastAsia="zh-CN"/>
        </w:rPr>
        <w:t>事故风机与报警装置联锁改造项目</w:t>
      </w:r>
      <w:r>
        <w:rPr>
          <w:rFonts w:ascii="Times New Roman" w:hAnsi="Times New Roman"/>
          <w:b/>
          <w:color w:val="000000"/>
          <w:sz w:val="24"/>
          <w:szCs w:val="24"/>
          <w:u w:val="single"/>
        </w:rPr>
        <w:t xml:space="preserve">  </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411EFC57">
      <w:pPr>
        <w:keepNext w:val="0"/>
        <w:keepLines w:val="0"/>
        <w:widowControl/>
        <w:suppressLineNumbers w:val="0"/>
        <w:jc w:val="left"/>
      </w:pPr>
    </w:p>
    <w:p w14:paraId="67D18717">
      <w:pPr>
        <w:widowControl/>
        <w:ind w:left="420"/>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4F19DF7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C1C6B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ADBF19">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F341A">
            <w:pPr>
              <w:widowControl/>
              <w:spacing w:line="420" w:lineRule="exact"/>
              <w:jc w:val="center"/>
              <w:rPr>
                <w:color w:val="000000"/>
                <w:sz w:val="24"/>
                <w:szCs w:val="24"/>
              </w:rPr>
            </w:pPr>
            <w:r>
              <w:rPr>
                <w:color w:val="000000"/>
                <w:sz w:val="24"/>
                <w:szCs w:val="24"/>
              </w:rPr>
              <w:t>招标文件的</w:t>
            </w:r>
          </w:p>
          <w:p w14:paraId="3C689E2D">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729104">
            <w:pPr>
              <w:widowControl/>
              <w:spacing w:line="420" w:lineRule="exact"/>
              <w:jc w:val="center"/>
              <w:rPr>
                <w:color w:val="000000"/>
                <w:sz w:val="24"/>
                <w:szCs w:val="24"/>
              </w:rPr>
            </w:pPr>
            <w:r>
              <w:rPr>
                <w:color w:val="000000"/>
                <w:sz w:val="24"/>
                <w:szCs w:val="24"/>
              </w:rPr>
              <w:t>投标文件的</w:t>
            </w:r>
          </w:p>
          <w:p w14:paraId="19B21DC0">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F54F9">
            <w:pPr>
              <w:widowControl/>
              <w:spacing w:line="420" w:lineRule="exact"/>
              <w:jc w:val="center"/>
              <w:rPr>
                <w:color w:val="000000"/>
                <w:sz w:val="24"/>
                <w:szCs w:val="24"/>
              </w:rPr>
            </w:pPr>
            <w:r>
              <w:rPr>
                <w:color w:val="000000"/>
                <w:sz w:val="24"/>
                <w:szCs w:val="24"/>
              </w:rPr>
              <w:t>说明</w:t>
            </w:r>
          </w:p>
        </w:tc>
      </w:tr>
      <w:tr w14:paraId="58F6926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EBC99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1FA9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0170D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FCDA92">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AF645A">
            <w:pPr>
              <w:widowControl/>
              <w:spacing w:line="800" w:lineRule="exact"/>
              <w:jc w:val="left"/>
              <w:rPr>
                <w:color w:val="000000"/>
                <w:sz w:val="24"/>
                <w:szCs w:val="24"/>
              </w:rPr>
            </w:pPr>
          </w:p>
        </w:tc>
      </w:tr>
      <w:tr w14:paraId="42461B6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39260F">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68A777">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02AEE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758CB">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44AD7A">
            <w:pPr>
              <w:widowControl/>
              <w:spacing w:line="800" w:lineRule="exact"/>
              <w:jc w:val="left"/>
              <w:rPr>
                <w:color w:val="000000"/>
                <w:sz w:val="24"/>
                <w:szCs w:val="24"/>
              </w:rPr>
            </w:pPr>
          </w:p>
        </w:tc>
      </w:tr>
      <w:tr w14:paraId="08F76172">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FC0F33">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F2A16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E712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2330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B2CA9D">
            <w:pPr>
              <w:widowControl/>
              <w:spacing w:line="800" w:lineRule="exact"/>
              <w:jc w:val="left"/>
              <w:rPr>
                <w:color w:val="000000"/>
                <w:sz w:val="24"/>
                <w:szCs w:val="24"/>
              </w:rPr>
            </w:pPr>
          </w:p>
        </w:tc>
      </w:tr>
      <w:tr w14:paraId="72384F14">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B7C5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522F1B">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7E30E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23CC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305F2">
            <w:pPr>
              <w:widowControl/>
              <w:spacing w:line="800" w:lineRule="exact"/>
              <w:jc w:val="left"/>
              <w:rPr>
                <w:color w:val="000000"/>
                <w:sz w:val="24"/>
                <w:szCs w:val="24"/>
              </w:rPr>
            </w:pPr>
          </w:p>
        </w:tc>
      </w:tr>
      <w:tr w14:paraId="263C074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872929">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BCF1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1E5B1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0606D4">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7FB10D">
            <w:pPr>
              <w:widowControl/>
              <w:spacing w:line="800" w:lineRule="exact"/>
              <w:jc w:val="left"/>
              <w:rPr>
                <w:color w:val="000000"/>
                <w:sz w:val="24"/>
                <w:szCs w:val="24"/>
              </w:rPr>
            </w:pPr>
          </w:p>
        </w:tc>
      </w:tr>
      <w:tr w14:paraId="3AA0FAE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B709D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49EA0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29AD8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0A378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F37548">
            <w:pPr>
              <w:widowControl/>
              <w:spacing w:line="800" w:lineRule="exact"/>
              <w:jc w:val="left"/>
              <w:rPr>
                <w:color w:val="000000"/>
                <w:sz w:val="24"/>
                <w:szCs w:val="24"/>
              </w:rPr>
            </w:pPr>
          </w:p>
        </w:tc>
      </w:tr>
      <w:tr w14:paraId="2FF3B53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14426">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5DDBC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3963F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1007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66070A">
            <w:pPr>
              <w:widowControl/>
              <w:spacing w:line="800" w:lineRule="exact"/>
              <w:jc w:val="left"/>
              <w:rPr>
                <w:color w:val="000000"/>
                <w:sz w:val="24"/>
                <w:szCs w:val="24"/>
              </w:rPr>
            </w:pPr>
          </w:p>
        </w:tc>
      </w:tr>
      <w:tr w14:paraId="3D29476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D3D08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B1B41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B2EC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D55D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894B31">
            <w:pPr>
              <w:widowControl/>
              <w:spacing w:line="800" w:lineRule="exact"/>
              <w:jc w:val="left"/>
              <w:rPr>
                <w:color w:val="000000"/>
                <w:sz w:val="24"/>
                <w:szCs w:val="24"/>
              </w:rPr>
            </w:pPr>
          </w:p>
        </w:tc>
      </w:tr>
      <w:tr w14:paraId="2690998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2D12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A0497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536AED">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079ED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99EDC">
            <w:pPr>
              <w:widowControl/>
              <w:spacing w:line="800" w:lineRule="exact"/>
              <w:jc w:val="left"/>
              <w:rPr>
                <w:color w:val="000000"/>
                <w:sz w:val="24"/>
                <w:szCs w:val="24"/>
              </w:rPr>
            </w:pPr>
          </w:p>
        </w:tc>
      </w:tr>
    </w:tbl>
    <w:p w14:paraId="66706A0C">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1F02BE1">
      <w:pPr>
        <w:widowControl/>
        <w:spacing w:line="500" w:lineRule="exact"/>
        <w:ind w:firstLine="6000"/>
        <w:jc w:val="left"/>
        <w:rPr>
          <w:color w:val="000000"/>
          <w:sz w:val="24"/>
          <w:szCs w:val="24"/>
        </w:rPr>
      </w:pPr>
      <w:r>
        <w:rPr>
          <w:color w:val="000000"/>
          <w:sz w:val="24"/>
          <w:szCs w:val="24"/>
        </w:rPr>
        <w:t>日期：</w:t>
      </w:r>
    </w:p>
    <w:p w14:paraId="4F33E9A7">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572B593D">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4CBF0C6">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6F89A4D3">
      <w:pPr>
        <w:rPr>
          <w:color w:val="000000"/>
          <w:sz w:val="24"/>
          <w:szCs w:val="24"/>
        </w:rPr>
      </w:pPr>
      <w:r>
        <w:rPr>
          <w:color w:val="000000"/>
          <w:sz w:val="24"/>
          <w:szCs w:val="24"/>
        </w:rPr>
        <w:br w:type="page"/>
      </w:r>
    </w:p>
    <w:p w14:paraId="2EB99B9D">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119FCF9C">
      <w:pPr>
        <w:widowControl/>
        <w:ind w:left="420"/>
        <w:jc w:val="left"/>
        <w:rPr>
          <w:rFonts w:hAnsi="Times New Roman"/>
          <w:color w:val="000000"/>
        </w:rPr>
      </w:pPr>
    </w:p>
    <w:p w14:paraId="242CCD8D">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b/>
          <w:color w:val="000000"/>
          <w:sz w:val="24"/>
          <w:szCs w:val="24"/>
          <w:u w:val="single"/>
          <w:lang w:val="en-US" w:eastAsia="zh-CN"/>
        </w:rPr>
        <w:t>事故风机与报警装置联锁改造项目</w:t>
      </w:r>
      <w:r>
        <w:rPr>
          <w:rFonts w:ascii="Times New Roman" w:hAnsi="Times New Roman"/>
          <w:b/>
          <w:color w:val="000000"/>
          <w:sz w:val="24"/>
          <w:szCs w:val="24"/>
          <w:u w:val="single"/>
        </w:rPr>
        <w:t xml:space="preserve">  </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7A8D2CD4">
      <w:pPr>
        <w:keepNext w:val="0"/>
        <w:keepLines w:val="0"/>
        <w:widowControl/>
        <w:suppressLineNumbers w:val="0"/>
        <w:jc w:val="left"/>
      </w:pPr>
    </w:p>
    <w:p w14:paraId="71B87EE9">
      <w:pPr>
        <w:widowControl/>
        <w:jc w:val="left"/>
        <w:rPr>
          <w:color w:val="000000"/>
          <w:sz w:val="24"/>
          <w:szCs w:val="24"/>
        </w:rPr>
      </w:pPr>
    </w:p>
    <w:tbl>
      <w:tblPr>
        <w:tblStyle w:val="14"/>
        <w:tblW w:w="4996" w:type="pct"/>
        <w:jc w:val="center"/>
        <w:tblLayout w:type="autofit"/>
        <w:tblCellMar>
          <w:top w:w="0" w:type="dxa"/>
          <w:left w:w="0" w:type="dxa"/>
          <w:bottom w:w="0" w:type="dxa"/>
          <w:right w:w="0" w:type="dxa"/>
        </w:tblCellMar>
      </w:tblPr>
      <w:tblGrid>
        <w:gridCol w:w="615"/>
        <w:gridCol w:w="1650"/>
        <w:gridCol w:w="1651"/>
        <w:gridCol w:w="1651"/>
        <w:gridCol w:w="1651"/>
        <w:gridCol w:w="1359"/>
        <w:gridCol w:w="702"/>
      </w:tblGrid>
      <w:tr w14:paraId="5A5DA5C3">
        <w:tblPrEx>
          <w:tblCellMar>
            <w:top w:w="0" w:type="dxa"/>
            <w:left w:w="0" w:type="dxa"/>
            <w:bottom w:w="0" w:type="dxa"/>
            <w:right w:w="0" w:type="dxa"/>
          </w:tblCellMar>
        </w:tblPrEx>
        <w:trPr>
          <w:trHeight w:val="886" w:hRule="atLeast"/>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FAAF6">
            <w:pPr>
              <w:widowControl/>
              <w:spacing w:line="420" w:lineRule="exact"/>
              <w:jc w:val="center"/>
              <w:rPr>
                <w:color w:val="000000"/>
                <w:sz w:val="24"/>
                <w:szCs w:val="24"/>
              </w:rPr>
            </w:pPr>
            <w:r>
              <w:rPr>
                <w:color w:val="000000"/>
                <w:sz w:val="24"/>
                <w:szCs w:val="24"/>
              </w:rPr>
              <w:t>序号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DC3381">
            <w:pPr>
              <w:widowControl/>
              <w:spacing w:line="420" w:lineRule="exact"/>
              <w:jc w:val="center"/>
              <w:rPr>
                <w:color w:val="000000"/>
                <w:sz w:val="24"/>
                <w:szCs w:val="24"/>
              </w:rPr>
            </w:pPr>
            <w:r>
              <w:rPr>
                <w:color w:val="000000"/>
                <w:sz w:val="24"/>
                <w:szCs w:val="24"/>
              </w:rPr>
              <w:t>工程项目</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5BF845">
            <w:pPr>
              <w:widowControl/>
              <w:spacing w:line="420" w:lineRule="exact"/>
              <w:jc w:val="center"/>
              <w:rPr>
                <w:color w:val="000000"/>
                <w:sz w:val="24"/>
                <w:szCs w:val="24"/>
              </w:rPr>
            </w:pPr>
            <w:r>
              <w:rPr>
                <w:color w:val="000000"/>
                <w:sz w:val="24"/>
                <w:szCs w:val="24"/>
              </w:rPr>
              <w:t>招标文件</w:t>
            </w:r>
          </w:p>
          <w:p w14:paraId="3A6F0785">
            <w:pPr>
              <w:widowControl/>
              <w:spacing w:line="420" w:lineRule="exact"/>
              <w:jc w:val="center"/>
              <w:rPr>
                <w:color w:val="000000"/>
                <w:sz w:val="24"/>
                <w:szCs w:val="24"/>
              </w:rPr>
            </w:pPr>
            <w:r>
              <w:rPr>
                <w:color w:val="000000"/>
                <w:sz w:val="24"/>
                <w:szCs w:val="24"/>
              </w:rPr>
              <w:t>条目号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D1EF2">
            <w:pPr>
              <w:widowControl/>
              <w:spacing w:line="420" w:lineRule="exact"/>
              <w:jc w:val="center"/>
              <w:rPr>
                <w:color w:val="000000"/>
                <w:sz w:val="24"/>
                <w:szCs w:val="24"/>
              </w:rPr>
            </w:pPr>
            <w:r>
              <w:rPr>
                <w:color w:val="000000"/>
                <w:sz w:val="24"/>
                <w:szCs w:val="24"/>
              </w:rPr>
              <w:t>招标规格</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01D29">
            <w:pPr>
              <w:widowControl/>
              <w:spacing w:line="420" w:lineRule="exact"/>
              <w:jc w:val="center"/>
              <w:rPr>
                <w:color w:val="000000"/>
                <w:sz w:val="24"/>
                <w:szCs w:val="24"/>
              </w:rPr>
            </w:pPr>
            <w:r>
              <w:rPr>
                <w:color w:val="000000"/>
                <w:sz w:val="24"/>
                <w:szCs w:val="24"/>
              </w:rPr>
              <w:t>投标规格</w:t>
            </w: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89DB7">
            <w:pPr>
              <w:widowControl/>
              <w:spacing w:line="420" w:lineRule="exact"/>
              <w:jc w:val="center"/>
              <w:rPr>
                <w:color w:val="000000"/>
                <w:sz w:val="24"/>
                <w:szCs w:val="24"/>
              </w:rPr>
            </w:pPr>
            <w:r>
              <w:rPr>
                <w:color w:val="000000"/>
                <w:sz w:val="24"/>
                <w:szCs w:val="24"/>
              </w:rPr>
              <w:t>响应/偏离</w:t>
            </w: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E0D0F2">
            <w:pPr>
              <w:widowControl/>
              <w:spacing w:line="420" w:lineRule="exact"/>
              <w:jc w:val="center"/>
              <w:rPr>
                <w:color w:val="000000"/>
                <w:sz w:val="24"/>
                <w:szCs w:val="24"/>
              </w:rPr>
            </w:pPr>
            <w:r>
              <w:rPr>
                <w:color w:val="000000"/>
                <w:sz w:val="24"/>
                <w:szCs w:val="24"/>
              </w:rPr>
              <w:t>说明</w:t>
            </w:r>
          </w:p>
        </w:tc>
      </w:tr>
      <w:tr w14:paraId="77A17414">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CC57B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B5AC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37D9D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9BCD2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408C60">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BA3E2F">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59C2">
            <w:pPr>
              <w:widowControl/>
              <w:spacing w:line="800" w:lineRule="exact"/>
              <w:jc w:val="left"/>
              <w:rPr>
                <w:color w:val="000000"/>
                <w:sz w:val="24"/>
                <w:szCs w:val="24"/>
              </w:rPr>
            </w:pPr>
          </w:p>
        </w:tc>
      </w:tr>
      <w:tr w14:paraId="6038984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B9DFF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FB92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C1DB1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5799F3">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B49D03">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1798C8">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610A4C">
            <w:pPr>
              <w:widowControl/>
              <w:spacing w:line="800" w:lineRule="exact"/>
              <w:jc w:val="left"/>
              <w:rPr>
                <w:color w:val="000000"/>
                <w:sz w:val="24"/>
                <w:szCs w:val="24"/>
              </w:rPr>
            </w:pPr>
          </w:p>
        </w:tc>
      </w:tr>
      <w:tr w14:paraId="2E0666A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EA15F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1C1D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B78B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4613A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B78C39">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42D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8C923F">
            <w:pPr>
              <w:widowControl/>
              <w:spacing w:line="800" w:lineRule="exact"/>
              <w:jc w:val="left"/>
              <w:rPr>
                <w:color w:val="000000"/>
                <w:sz w:val="24"/>
                <w:szCs w:val="24"/>
              </w:rPr>
            </w:pPr>
          </w:p>
        </w:tc>
      </w:tr>
      <w:tr w14:paraId="032B3143">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2F9E8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1F7B0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8AFA1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BF936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B9379B">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BEF2E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48DF4C">
            <w:pPr>
              <w:widowControl/>
              <w:spacing w:line="800" w:lineRule="exact"/>
              <w:jc w:val="left"/>
              <w:rPr>
                <w:color w:val="000000"/>
                <w:sz w:val="24"/>
                <w:szCs w:val="24"/>
              </w:rPr>
            </w:pPr>
          </w:p>
        </w:tc>
      </w:tr>
      <w:tr w14:paraId="5AA50A2B">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6A487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D789B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E685F8">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DDDE9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3D9F0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206127">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4F836">
            <w:pPr>
              <w:widowControl/>
              <w:spacing w:line="800" w:lineRule="exact"/>
              <w:jc w:val="left"/>
              <w:rPr>
                <w:color w:val="000000"/>
                <w:sz w:val="24"/>
                <w:szCs w:val="24"/>
              </w:rPr>
            </w:pPr>
          </w:p>
        </w:tc>
      </w:tr>
      <w:tr w14:paraId="7BD7732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80FFD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A9990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DCBD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9F676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202EE7">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9B693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F25B71">
            <w:pPr>
              <w:widowControl/>
              <w:spacing w:line="800" w:lineRule="exact"/>
              <w:jc w:val="left"/>
              <w:rPr>
                <w:color w:val="000000"/>
                <w:sz w:val="24"/>
                <w:szCs w:val="24"/>
              </w:rPr>
            </w:pPr>
          </w:p>
        </w:tc>
      </w:tr>
      <w:tr w14:paraId="578C487F">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98D86E">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94175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42650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92045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9089CA">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748A46">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3968A">
            <w:pPr>
              <w:widowControl/>
              <w:spacing w:line="800" w:lineRule="exact"/>
              <w:jc w:val="left"/>
              <w:rPr>
                <w:color w:val="000000"/>
                <w:sz w:val="24"/>
                <w:szCs w:val="24"/>
              </w:rPr>
            </w:pPr>
          </w:p>
        </w:tc>
      </w:tr>
      <w:tr w14:paraId="2C92FA67">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5AE76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46211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4A54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8D573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765DF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A23163">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B0995F">
            <w:pPr>
              <w:widowControl/>
              <w:spacing w:line="800" w:lineRule="exact"/>
              <w:jc w:val="left"/>
              <w:rPr>
                <w:color w:val="000000"/>
                <w:sz w:val="24"/>
                <w:szCs w:val="24"/>
              </w:rPr>
            </w:pPr>
          </w:p>
        </w:tc>
      </w:tr>
    </w:tbl>
    <w:p w14:paraId="76BD2FEC">
      <w:pPr>
        <w:widowControl/>
        <w:spacing w:line="500" w:lineRule="exact"/>
        <w:ind w:firstLine="1440"/>
        <w:jc w:val="left"/>
        <w:rPr>
          <w:color w:val="000000"/>
          <w:sz w:val="24"/>
          <w:szCs w:val="24"/>
        </w:rPr>
      </w:pPr>
    </w:p>
    <w:p w14:paraId="578015A5">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708FB9C2">
      <w:pPr>
        <w:widowControl/>
        <w:spacing w:line="500" w:lineRule="exact"/>
        <w:jc w:val="center"/>
        <w:rPr>
          <w:b/>
          <w:color w:val="000000"/>
          <w:sz w:val="24"/>
          <w:szCs w:val="24"/>
        </w:rPr>
      </w:pPr>
      <w:r>
        <w:rPr>
          <w:color w:val="000000"/>
          <w:sz w:val="24"/>
          <w:szCs w:val="24"/>
        </w:rPr>
        <w:t xml:space="preserve">                                        日期：</w:t>
      </w:r>
    </w:p>
    <w:p w14:paraId="246E1236">
      <w:pPr>
        <w:widowControl/>
        <w:ind w:left="420"/>
        <w:jc w:val="left"/>
        <w:rPr>
          <w:color w:val="000000"/>
          <w:sz w:val="24"/>
          <w:szCs w:val="24"/>
        </w:rPr>
      </w:pPr>
    </w:p>
    <w:p w14:paraId="5AAA42D3">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96DE07D">
      <w:pPr>
        <w:pStyle w:val="7"/>
        <w:outlineLvl w:val="2"/>
        <w:rPr>
          <w:rFonts w:hint="eastAsia" w:hAnsi="宋体" w:eastAsia="宋体" w:cs="宋体"/>
          <w:b/>
          <w:bCs/>
          <w:color w:val="000000"/>
          <w:sz w:val="24"/>
          <w:szCs w:val="24"/>
          <w:highlight w:val="none"/>
        </w:rPr>
      </w:pPr>
    </w:p>
    <w:p w14:paraId="3EF453EA">
      <w:pPr>
        <w:pStyle w:val="4"/>
      </w:pPr>
    </w:p>
    <w:p w14:paraId="5DE925EE">
      <w:pPr>
        <w:rPr>
          <w:color w:val="000000"/>
          <w:sz w:val="24"/>
          <w:szCs w:val="24"/>
        </w:rPr>
      </w:pPr>
      <w:r>
        <w:rPr>
          <w:color w:val="000000"/>
          <w:sz w:val="24"/>
          <w:szCs w:val="24"/>
        </w:rPr>
        <w:br w:type="page"/>
      </w:r>
    </w:p>
    <w:p w14:paraId="13F2D2C5">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3"/>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7"/>
        <w:rPr>
          <w:rFonts w:hint="default" w:ascii="Times New Roman" w:hAnsi="Times New Roman" w:eastAsia="宋体" w:cs="Times New Roman"/>
          <w:b/>
          <w:bCs/>
          <w:color w:val="000000"/>
          <w:sz w:val="24"/>
          <w:szCs w:val="24"/>
        </w:rPr>
      </w:pPr>
    </w:p>
    <w:p w14:paraId="37B23B42">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77D15F41">
      <w:pPr>
        <w:pStyle w:val="7"/>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eastAsia" w:cs="Times New Roman"/>
                <w:color w:val="000000"/>
                <w:sz w:val="24"/>
                <w:szCs w:val="24"/>
                <w:lang w:val="en-US" w:eastAsia="zh-CN"/>
              </w:rPr>
              <w:t>2023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eastAsia" w:cs="Times New Roman"/>
                <w:color w:val="000000"/>
                <w:sz w:val="24"/>
                <w:szCs w:val="24"/>
                <w:lang w:val="en-US" w:eastAsia="zh-CN"/>
              </w:rPr>
              <w:t>2024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2025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7E43FFC9">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B96DCE">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0D78451E">
      <w:pPr>
        <w:widowControl/>
        <w:spacing w:after="120"/>
        <w:jc w:val="left"/>
        <w:rPr>
          <w:color w:val="000000"/>
          <w:sz w:val="24"/>
          <w:szCs w:val="24"/>
        </w:rPr>
      </w:pPr>
    </w:p>
    <w:p w14:paraId="4370DA73">
      <w:pPr>
        <w:widowControl/>
        <w:spacing w:after="120"/>
        <w:jc w:val="left"/>
        <w:rPr>
          <w:color w:val="0000FF"/>
          <w:sz w:val="24"/>
          <w:szCs w:val="24"/>
        </w:rPr>
      </w:pPr>
      <w:r>
        <w:rPr>
          <w:color w:val="000000"/>
          <w:sz w:val="24"/>
          <w:szCs w:val="24"/>
        </w:rPr>
        <w:t>近三年承揽同类或相似项目和服务业绩，包括已收到中标通知但尚未签订合同的项目</w:t>
      </w:r>
      <w:r>
        <w:rPr>
          <w:color w:val="0000FF"/>
          <w:sz w:val="24"/>
          <w:szCs w:val="24"/>
        </w:rPr>
        <w:t>（提供相关合同的复印件）</w:t>
      </w:r>
    </w:p>
    <w:p w14:paraId="40FD0879">
      <w:pPr>
        <w:widowControl/>
        <w:spacing w:line="360" w:lineRule="auto"/>
        <w:jc w:val="center"/>
        <w:rPr>
          <w:color w:val="000000"/>
          <w:sz w:val="24"/>
          <w:szCs w:val="24"/>
        </w:rPr>
      </w:pPr>
    </w:p>
    <w:tbl>
      <w:tblPr>
        <w:tblStyle w:val="14"/>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BC0B7C">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77ED05A4">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DB89">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5745E97">
            <w:pPr>
              <w:widowControl/>
              <w:jc w:val="center"/>
              <w:rPr>
                <w:color w:val="000000"/>
                <w:sz w:val="24"/>
                <w:szCs w:val="24"/>
              </w:rPr>
            </w:pPr>
            <w:r>
              <w:rPr>
                <w:color w:val="000000"/>
                <w:sz w:val="24"/>
                <w:szCs w:val="24"/>
              </w:rPr>
              <w:t>签约</w:t>
            </w:r>
          </w:p>
          <w:p w14:paraId="6AA04E69">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2D0F29E5">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F0C41D1">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A91C48C">
            <w:pPr>
              <w:widowControl/>
              <w:jc w:val="center"/>
              <w:rPr>
                <w:color w:val="000000"/>
                <w:sz w:val="24"/>
                <w:szCs w:val="24"/>
              </w:rPr>
            </w:pPr>
            <w:r>
              <w:rPr>
                <w:color w:val="000000"/>
                <w:sz w:val="24"/>
                <w:szCs w:val="24"/>
              </w:rPr>
              <w:t>地址/电话/传真</w:t>
            </w:r>
          </w:p>
        </w:tc>
      </w:tr>
      <w:tr w14:paraId="377DC2E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D61C0F7">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62DCEADF">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296BBA1F">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64C1735">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8AA713B">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5FACC6EB">
            <w:pPr>
              <w:widowControl/>
              <w:jc w:val="left"/>
              <w:rPr>
                <w:color w:val="000000"/>
                <w:sz w:val="24"/>
                <w:szCs w:val="24"/>
              </w:rPr>
            </w:pPr>
            <w:r>
              <w:rPr>
                <w:color w:val="000000"/>
                <w:sz w:val="24"/>
                <w:szCs w:val="24"/>
              </w:rPr>
              <w:t>　</w:t>
            </w:r>
          </w:p>
        </w:tc>
      </w:tr>
      <w:tr w14:paraId="21519BB0">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7D8812B">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7C7B71A">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73B7CFD9">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23917074">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5766F287">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94711D6">
            <w:pPr>
              <w:widowControl/>
              <w:jc w:val="left"/>
              <w:rPr>
                <w:color w:val="000000"/>
                <w:sz w:val="24"/>
                <w:szCs w:val="24"/>
              </w:rPr>
            </w:pPr>
            <w:r>
              <w:rPr>
                <w:color w:val="000000"/>
                <w:sz w:val="24"/>
                <w:szCs w:val="24"/>
              </w:rPr>
              <w:t>　</w:t>
            </w:r>
          </w:p>
        </w:tc>
      </w:tr>
      <w:tr w14:paraId="14AF9017">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640DF31F">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3C6E9D0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2FBE57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51229AB">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6D296E3">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AD413A0">
            <w:pPr>
              <w:widowControl/>
              <w:jc w:val="left"/>
              <w:rPr>
                <w:color w:val="000000"/>
                <w:sz w:val="24"/>
                <w:szCs w:val="24"/>
              </w:rPr>
            </w:pPr>
            <w:r>
              <w:rPr>
                <w:color w:val="000000"/>
                <w:sz w:val="24"/>
                <w:szCs w:val="24"/>
              </w:rPr>
              <w:t>　</w:t>
            </w:r>
          </w:p>
        </w:tc>
      </w:tr>
      <w:tr w14:paraId="6210117E">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BCBD2D7">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2E9EC70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4426F20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6743E012">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647FE434">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19DFD7E9">
            <w:pPr>
              <w:widowControl/>
              <w:jc w:val="left"/>
              <w:rPr>
                <w:color w:val="000000"/>
                <w:sz w:val="24"/>
                <w:szCs w:val="24"/>
              </w:rPr>
            </w:pPr>
            <w:r>
              <w:rPr>
                <w:color w:val="000000"/>
                <w:sz w:val="24"/>
                <w:szCs w:val="24"/>
              </w:rPr>
              <w:t>　</w:t>
            </w:r>
          </w:p>
        </w:tc>
      </w:tr>
    </w:tbl>
    <w:p w14:paraId="60C01244">
      <w:pPr>
        <w:widowControl/>
        <w:spacing w:line="400" w:lineRule="exact"/>
        <w:jc w:val="left"/>
        <w:rPr>
          <w:color w:val="000000"/>
          <w:sz w:val="24"/>
          <w:szCs w:val="24"/>
        </w:rPr>
      </w:pPr>
    </w:p>
    <w:p w14:paraId="278FC327">
      <w:pPr>
        <w:widowControl/>
        <w:spacing w:line="400" w:lineRule="exact"/>
        <w:jc w:val="left"/>
        <w:rPr>
          <w:color w:val="000000"/>
          <w:sz w:val="24"/>
          <w:szCs w:val="24"/>
        </w:rPr>
      </w:pPr>
    </w:p>
    <w:p w14:paraId="3417A7FA">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A325A71">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A57B6BA">
      <w:pPr>
        <w:rPr>
          <w:b/>
          <w:color w:val="000000"/>
          <w:sz w:val="24"/>
          <w:szCs w:val="24"/>
        </w:rPr>
      </w:pPr>
      <w:r>
        <w:rPr>
          <w:b/>
          <w:color w:val="000000"/>
          <w:sz w:val="24"/>
          <w:szCs w:val="24"/>
        </w:rPr>
        <w:br w:type="page"/>
      </w:r>
    </w:p>
    <w:p w14:paraId="6A521D3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1BB19B2F">
      <w:pPr>
        <w:spacing w:line="272" w:lineRule="auto"/>
        <w:rPr>
          <w:rFonts w:hint="default" w:ascii="Times New Roman" w:hAnsi="Times New Roman" w:cs="Times New Roman"/>
        </w:rPr>
      </w:pPr>
    </w:p>
    <w:p w14:paraId="21620BFA">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0B13CA40">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3620843">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4C007F01">
      <w:pPr>
        <w:pStyle w:val="7"/>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val="en-US" w:eastAsia="zh-CN"/>
        </w:rPr>
        <w:t>货物/安全消防</w:t>
      </w:r>
      <w:r>
        <w:rPr>
          <w:rFonts w:hint="eastAsia" w:ascii="宋体" w:hAnsi="宋体" w:eastAsia="宋体" w:cs="宋体"/>
          <w:b/>
          <w:bCs/>
          <w:color w:val="000000"/>
          <w:sz w:val="24"/>
          <w:szCs w:val="28"/>
          <w:highlight w:val="none"/>
        </w:rPr>
        <w:t>”，业务主管部门选择“</w:t>
      </w:r>
      <w:r>
        <w:rPr>
          <w:rFonts w:hint="eastAsia"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4CBE5D96">
      <w:pPr>
        <w:pStyle w:val="7"/>
        <w:outlineLvl w:val="2"/>
        <w:rPr>
          <w:rFonts w:hint="eastAsia" w:ascii="宋体" w:hAnsi="宋体" w:eastAsia="宋体" w:cs="宋体"/>
          <w:b/>
          <w:bCs/>
          <w:color w:val="000000"/>
          <w:sz w:val="24"/>
          <w:szCs w:val="28"/>
          <w:highlight w:val="none"/>
        </w:rPr>
      </w:pPr>
    </w:p>
    <w:p w14:paraId="7151F6BD">
      <w:pPr>
        <w:pStyle w:val="7"/>
        <w:outlineLvl w:val="2"/>
        <w:rPr>
          <w:rFonts w:hint="eastAsia" w:ascii="宋体" w:hAnsi="宋体" w:eastAsia="宋体" w:cs="宋体"/>
          <w:b/>
          <w:bCs/>
          <w:color w:val="000000"/>
          <w:sz w:val="24"/>
          <w:szCs w:val="28"/>
          <w:highlight w:val="none"/>
        </w:rPr>
      </w:pPr>
    </w:p>
    <w:p w14:paraId="5E41ABB5">
      <w:pPr>
        <w:pStyle w:val="7"/>
        <w:outlineLvl w:val="2"/>
        <w:rPr>
          <w:rFonts w:hint="eastAsia" w:ascii="宋体" w:hAnsi="宋体" w:eastAsia="宋体" w:cs="宋体"/>
          <w:b/>
          <w:bCs/>
          <w:color w:val="000000"/>
          <w:sz w:val="24"/>
          <w:szCs w:val="28"/>
          <w:highlight w:val="none"/>
        </w:rPr>
      </w:pP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4BA80A3">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7F5F97E1">
      <w:pPr>
        <w:pStyle w:val="7"/>
      </w:pPr>
    </w:p>
    <w:p w14:paraId="44F04E35">
      <w:pPr>
        <w:pStyle w:val="7"/>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B6CE40E">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7"/>
        <w:rPr>
          <w:rFonts w:hAnsi="宋体" w:eastAsia="宋体" w:cs="Times New Roman"/>
          <w:b/>
          <w:color w:val="000000"/>
          <w:sz w:val="24"/>
          <w:szCs w:val="24"/>
        </w:rPr>
      </w:pPr>
    </w:p>
    <w:p w14:paraId="428D0957">
      <w:pPr>
        <w:pStyle w:val="7"/>
        <w:rPr>
          <w:rFonts w:hAnsi="宋体" w:eastAsia="宋体" w:cs="Times New Roman"/>
          <w:b/>
          <w:color w:val="000000"/>
          <w:sz w:val="24"/>
          <w:szCs w:val="24"/>
        </w:rPr>
      </w:pPr>
    </w:p>
    <w:p w14:paraId="66308F9E">
      <w:pPr>
        <w:pStyle w:val="21"/>
        <w:rPr>
          <w:rFonts w:hint="default" w:hAnsi="宋体"/>
          <w:sz w:val="24"/>
          <w:lang w:val="en-US"/>
        </w:rPr>
      </w:pPr>
    </w:p>
    <w:p w14:paraId="321D2F29">
      <w:pPr>
        <w:pStyle w:val="2"/>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KSOF0B7949D1">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8"/>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8"/>
      <w:framePr w:wrap="around" w:vAnchor="text" w:hAnchor="margin" w:xAlign="center" w:y="1"/>
      <w:rPr>
        <w:rStyle w:val="17"/>
      </w:rPr>
    </w:pPr>
    <w:r>
      <w:fldChar w:fldCharType="begin"/>
    </w:r>
    <w:r>
      <w:rPr>
        <w:rStyle w:val="17"/>
      </w:rPr>
      <w:instrText xml:space="preserve">PAGE  </w:instrText>
    </w:r>
    <w:r>
      <w:fldChar w:fldCharType="end"/>
    </w:r>
  </w:p>
  <w:p w14:paraId="5EBBDCED">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9"/>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9"/>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A9A4576"/>
    <w:multiLevelType w:val="singleLevel"/>
    <w:tmpl w:val="BA9A4576"/>
    <w:lvl w:ilvl="0" w:tentative="0">
      <w:start w:val="6"/>
      <w:numFmt w:val="chineseCounting"/>
      <w:suff w:val="nothing"/>
      <w:lvlText w:val="%1、"/>
      <w:lvlJc w:val="left"/>
      <w:rPr>
        <w:rFonts w:hint="eastAsia"/>
      </w:rPr>
    </w:lvl>
  </w:abstractNum>
  <w:abstractNum w:abstractNumId="3">
    <w:nsid w:val="BD7F6246"/>
    <w:multiLevelType w:val="singleLevel"/>
    <w:tmpl w:val="BD7F6246"/>
    <w:lvl w:ilvl="0" w:tentative="0">
      <w:start w:val="6"/>
      <w:numFmt w:val="decimal"/>
      <w:suff w:val="nothing"/>
      <w:lvlText w:val="%1、"/>
      <w:lvlJc w:val="left"/>
    </w:lvl>
  </w:abstractNum>
  <w:abstractNum w:abstractNumId="4">
    <w:nsid w:val="EE9B7FC4"/>
    <w:multiLevelType w:val="singleLevel"/>
    <w:tmpl w:val="EE9B7FC4"/>
    <w:lvl w:ilvl="0" w:tentative="0">
      <w:start w:val="2"/>
      <w:numFmt w:val="chineseCounting"/>
      <w:suff w:val="nothing"/>
      <w:lvlText w:val="%1、"/>
      <w:lvlJc w:val="left"/>
      <w:rPr>
        <w:rFonts w:hint="eastAsia"/>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92D7BA"/>
    <w:multiLevelType w:val="singleLevel"/>
    <w:tmpl w:val="5692D7BA"/>
    <w:lvl w:ilvl="0" w:tentative="0">
      <w:start w:val="2"/>
      <w:numFmt w:val="decimal"/>
      <w:suff w:val="nothing"/>
      <w:lvlText w:val="%1、"/>
      <w:lvlJc w:val="left"/>
    </w:lvl>
  </w:abstractNum>
  <w:abstractNum w:abstractNumId="10">
    <w:nsid w:val="56D20133"/>
    <w:multiLevelType w:val="multilevel"/>
    <w:tmpl w:val="56D20133"/>
    <w:lvl w:ilvl="0" w:tentative="0">
      <w:start w:val="1"/>
      <w:numFmt w:val="chineseCountingThousand"/>
      <w:pStyle w:val="7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0EB3FAA"/>
    <w:multiLevelType w:val="singleLevel"/>
    <w:tmpl w:val="70EB3FAA"/>
    <w:lvl w:ilvl="0" w:tentative="0">
      <w:start w:val="1"/>
      <w:numFmt w:val="decimal"/>
      <w:lvlText w:val="%1."/>
      <w:lvlJc w:val="left"/>
      <w:pPr>
        <w:ind w:left="425" w:hanging="425"/>
      </w:pPr>
      <w:rPr>
        <w:rFonts w:hint="default"/>
      </w:rPr>
    </w:lvl>
  </w:abstractNum>
  <w:num w:numId="1">
    <w:abstractNumId w:val="11"/>
  </w:num>
  <w:num w:numId="2">
    <w:abstractNumId w:val="10"/>
  </w:num>
  <w:num w:numId="3">
    <w:abstractNumId w:val="9"/>
  </w:num>
  <w:num w:numId="4">
    <w:abstractNumId w:val="12"/>
  </w:num>
  <w:num w:numId="5">
    <w:abstractNumId w:val="1"/>
  </w:num>
  <w:num w:numId="6">
    <w:abstractNumId w:val="3"/>
  </w:num>
  <w:num w:numId="7">
    <w:abstractNumId w:val="6"/>
  </w:num>
  <w:num w:numId="8">
    <w:abstractNumId w:val="0"/>
  </w:num>
  <w:num w:numId="9">
    <w:abstractNumId w:val="4"/>
  </w:num>
  <w:num w:numId="10">
    <w:abstractNumId w:val="2"/>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40645B1"/>
    <w:rsid w:val="04275653"/>
    <w:rsid w:val="0462668B"/>
    <w:rsid w:val="05720B50"/>
    <w:rsid w:val="05850883"/>
    <w:rsid w:val="05FE0636"/>
    <w:rsid w:val="0754675F"/>
    <w:rsid w:val="07660241"/>
    <w:rsid w:val="07AB0349"/>
    <w:rsid w:val="09727371"/>
    <w:rsid w:val="09AE43B9"/>
    <w:rsid w:val="0A256191"/>
    <w:rsid w:val="0A434869"/>
    <w:rsid w:val="0B3F1FB8"/>
    <w:rsid w:val="0BC33EB3"/>
    <w:rsid w:val="0BF347E8"/>
    <w:rsid w:val="0CC021A1"/>
    <w:rsid w:val="0D083FB4"/>
    <w:rsid w:val="0D5A377C"/>
    <w:rsid w:val="0DCF4A41"/>
    <w:rsid w:val="0E347FDD"/>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3E57888"/>
    <w:rsid w:val="1517661E"/>
    <w:rsid w:val="15657D89"/>
    <w:rsid w:val="16C44F84"/>
    <w:rsid w:val="16D76A65"/>
    <w:rsid w:val="16EA2C3C"/>
    <w:rsid w:val="17032A46"/>
    <w:rsid w:val="17726840"/>
    <w:rsid w:val="17BA0860"/>
    <w:rsid w:val="18C4121B"/>
    <w:rsid w:val="193A152D"/>
    <w:rsid w:val="19444B5F"/>
    <w:rsid w:val="19722A75"/>
    <w:rsid w:val="19CE23A1"/>
    <w:rsid w:val="19FE3D53"/>
    <w:rsid w:val="1A134258"/>
    <w:rsid w:val="1CAA49F8"/>
    <w:rsid w:val="1CBE2546"/>
    <w:rsid w:val="1D623FD6"/>
    <w:rsid w:val="1E1E766F"/>
    <w:rsid w:val="1F8A033E"/>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A94430"/>
    <w:rsid w:val="2CDA6E57"/>
    <w:rsid w:val="2D236108"/>
    <w:rsid w:val="2D50441C"/>
    <w:rsid w:val="2D962D7E"/>
    <w:rsid w:val="2E026666"/>
    <w:rsid w:val="2F61560E"/>
    <w:rsid w:val="2FCB6462"/>
    <w:rsid w:val="2FF47BED"/>
    <w:rsid w:val="308E2433"/>
    <w:rsid w:val="30F027A5"/>
    <w:rsid w:val="31DD5420"/>
    <w:rsid w:val="326E4A43"/>
    <w:rsid w:val="32BA306B"/>
    <w:rsid w:val="331D199C"/>
    <w:rsid w:val="341E587B"/>
    <w:rsid w:val="34E73EBF"/>
    <w:rsid w:val="35E0728C"/>
    <w:rsid w:val="36B67FED"/>
    <w:rsid w:val="36EA1AA7"/>
    <w:rsid w:val="370451FC"/>
    <w:rsid w:val="373A29CC"/>
    <w:rsid w:val="37C2651C"/>
    <w:rsid w:val="382A0C93"/>
    <w:rsid w:val="38523D46"/>
    <w:rsid w:val="387651EF"/>
    <w:rsid w:val="39A20CFD"/>
    <w:rsid w:val="39A71E6F"/>
    <w:rsid w:val="39FB4A80"/>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3E5F45"/>
    <w:rsid w:val="414D154E"/>
    <w:rsid w:val="41656898"/>
    <w:rsid w:val="41962EF5"/>
    <w:rsid w:val="41AC44C7"/>
    <w:rsid w:val="42141C1A"/>
    <w:rsid w:val="423A5F76"/>
    <w:rsid w:val="42D54FED"/>
    <w:rsid w:val="434B5F61"/>
    <w:rsid w:val="439416B6"/>
    <w:rsid w:val="43F54DA9"/>
    <w:rsid w:val="44A27E03"/>
    <w:rsid w:val="455138A3"/>
    <w:rsid w:val="45A35BE1"/>
    <w:rsid w:val="45CD0EAF"/>
    <w:rsid w:val="47000FF9"/>
    <w:rsid w:val="47BC567F"/>
    <w:rsid w:val="49CA5E32"/>
    <w:rsid w:val="4C325F10"/>
    <w:rsid w:val="4C432784"/>
    <w:rsid w:val="4CDA761C"/>
    <w:rsid w:val="4D6F029E"/>
    <w:rsid w:val="4D996326"/>
    <w:rsid w:val="4DCE7A77"/>
    <w:rsid w:val="4E2964A4"/>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AC5973"/>
    <w:rsid w:val="54B35E4E"/>
    <w:rsid w:val="5663112E"/>
    <w:rsid w:val="569021B1"/>
    <w:rsid w:val="575E405D"/>
    <w:rsid w:val="57B65C47"/>
    <w:rsid w:val="57B8376D"/>
    <w:rsid w:val="57D936E4"/>
    <w:rsid w:val="57EF1159"/>
    <w:rsid w:val="59280444"/>
    <w:rsid w:val="5AA708CA"/>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0321C"/>
    <w:rsid w:val="62051CA5"/>
    <w:rsid w:val="621C2B4B"/>
    <w:rsid w:val="625A0F68"/>
    <w:rsid w:val="63293771"/>
    <w:rsid w:val="63343EC4"/>
    <w:rsid w:val="63B41E9C"/>
    <w:rsid w:val="63C70946"/>
    <w:rsid w:val="646F3406"/>
    <w:rsid w:val="64BA4740"/>
    <w:rsid w:val="64E01C52"/>
    <w:rsid w:val="654E019A"/>
    <w:rsid w:val="654F3237"/>
    <w:rsid w:val="657A633E"/>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10F66"/>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BBA065E"/>
    <w:rsid w:val="7C215870"/>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List"/>
    <w:basedOn w:val="1"/>
    <w:qFormat/>
    <w:uiPriority w:val="0"/>
    <w:pPr>
      <w:ind w:left="200" w:hanging="200" w:hanging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styleId="19">
    <w:name w:val="List Paragraph"/>
    <w:basedOn w:val="1"/>
    <w:qFormat/>
    <w:uiPriority w:val="99"/>
    <w:pPr>
      <w:ind w:firstLine="420" w:firstLineChars="200"/>
    </w:pPr>
  </w:style>
  <w:style w:type="paragraph" w:customStyle="1" w:styleId="20">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7"/>
    <w:qFormat/>
    <w:uiPriority w:val="9"/>
    <w:pPr>
      <w:spacing w:line="360" w:lineRule="auto"/>
      <w:jc w:val="left"/>
    </w:pPr>
  </w:style>
  <w:style w:type="paragraph" w:customStyle="1" w:styleId="2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3">
    <w:name w:val="Table Paragraph"/>
    <w:basedOn w:val="1"/>
    <w:autoRedefine/>
    <w:qFormat/>
    <w:uiPriority w:val="1"/>
    <w:rPr>
      <w:rFonts w:ascii="宋体" w:hAnsi="宋体" w:eastAsia="宋体" w:cs="宋体"/>
    </w:rPr>
  </w:style>
  <w:style w:type="table" w:customStyle="1" w:styleId="24">
    <w:name w:val="Table Normal"/>
    <w:autoRedefine/>
    <w:qFormat/>
    <w:uiPriority w:val="0"/>
    <w:tblPr>
      <w:tblCellMar>
        <w:top w:w="0" w:type="dxa"/>
        <w:left w:w="0" w:type="dxa"/>
        <w:bottom w:w="0" w:type="dxa"/>
        <w:right w:w="0" w:type="dxa"/>
      </w:tblCellMar>
    </w:tblPr>
  </w:style>
  <w:style w:type="paragraph" w:customStyle="1" w:styleId="25">
    <w:name w:val="null22"/>
    <w:qFormat/>
    <w:uiPriority w:val="0"/>
    <w:rPr>
      <w:rFonts w:ascii="Times New Roman" w:hAnsi="Times New Roman" w:eastAsia="宋体" w:cs="Times New Roman"/>
      <w:szCs w:val="21"/>
      <w:lang w:val="en-US" w:eastAsia="zh-CN" w:bidi="ar-SA"/>
    </w:rPr>
  </w:style>
  <w:style w:type="paragraph" w:customStyle="1" w:styleId="26">
    <w:name w:val="null23"/>
    <w:qFormat/>
    <w:uiPriority w:val="0"/>
    <w:rPr>
      <w:rFonts w:ascii="Times New Roman" w:hAnsi="Times New Roman" w:eastAsia="宋体" w:cs="Times New Roman"/>
      <w:szCs w:val="21"/>
      <w:lang w:val="en-US" w:eastAsia="zh-CN" w:bidi="ar-SA"/>
    </w:rPr>
  </w:style>
  <w:style w:type="paragraph" w:customStyle="1" w:styleId="27">
    <w:name w:val="null24"/>
    <w:qFormat/>
    <w:uiPriority w:val="0"/>
    <w:rPr>
      <w:rFonts w:ascii="Times New Roman" w:hAnsi="Times New Roman" w:eastAsia="宋体" w:cs="Times New Roman"/>
      <w:szCs w:val="21"/>
      <w:lang w:val="en-US" w:eastAsia="zh-CN" w:bidi="ar-SA"/>
    </w:rPr>
  </w:style>
  <w:style w:type="paragraph" w:customStyle="1" w:styleId="28">
    <w:name w:val="null25"/>
    <w:qFormat/>
    <w:uiPriority w:val="0"/>
    <w:rPr>
      <w:rFonts w:ascii="Times New Roman" w:hAnsi="Times New Roman" w:eastAsia="宋体" w:cs="Times New Roman"/>
      <w:szCs w:val="21"/>
      <w:lang w:val="en-US" w:eastAsia="zh-CN" w:bidi="ar-SA"/>
    </w:rPr>
  </w:style>
  <w:style w:type="paragraph" w:customStyle="1" w:styleId="29">
    <w:name w:val="null26"/>
    <w:qFormat/>
    <w:uiPriority w:val="0"/>
    <w:rPr>
      <w:rFonts w:ascii="Times New Roman" w:hAnsi="Times New Roman" w:eastAsia="宋体" w:cs="Times New Roman"/>
      <w:szCs w:val="21"/>
      <w:lang w:val="en-US" w:eastAsia="zh-CN" w:bidi="ar-SA"/>
    </w:rPr>
  </w:style>
  <w:style w:type="paragraph" w:customStyle="1" w:styleId="30">
    <w:name w:val="null27"/>
    <w:qFormat/>
    <w:uiPriority w:val="0"/>
    <w:rPr>
      <w:rFonts w:ascii="Times New Roman" w:hAnsi="Times New Roman" w:eastAsia="宋体" w:cs="Times New Roman"/>
      <w:szCs w:val="21"/>
      <w:lang w:val="en-US" w:eastAsia="zh-CN" w:bidi="ar-SA"/>
    </w:rPr>
  </w:style>
  <w:style w:type="paragraph" w:customStyle="1" w:styleId="31">
    <w:name w:val="null28"/>
    <w:qFormat/>
    <w:uiPriority w:val="0"/>
    <w:rPr>
      <w:rFonts w:ascii="Times New Roman" w:hAnsi="Times New Roman" w:eastAsia="宋体" w:cs="Times New Roman"/>
      <w:szCs w:val="21"/>
      <w:lang w:val="en-US" w:eastAsia="zh-CN" w:bidi="ar-SA"/>
    </w:rPr>
  </w:style>
  <w:style w:type="paragraph" w:customStyle="1" w:styleId="32">
    <w:name w:val="null29"/>
    <w:qFormat/>
    <w:uiPriority w:val="0"/>
    <w:rPr>
      <w:rFonts w:ascii="Times New Roman" w:hAnsi="Times New Roman" w:eastAsia="宋体" w:cs="Times New Roman"/>
      <w:szCs w:val="21"/>
      <w:lang w:val="en-US" w:eastAsia="zh-CN" w:bidi="ar-SA"/>
    </w:rPr>
  </w:style>
  <w:style w:type="paragraph" w:customStyle="1" w:styleId="33">
    <w:name w:val="null30"/>
    <w:qFormat/>
    <w:uiPriority w:val="0"/>
    <w:rPr>
      <w:rFonts w:ascii="Times New Roman" w:hAnsi="Times New Roman" w:eastAsia="宋体" w:cs="Times New Roman"/>
      <w:szCs w:val="21"/>
      <w:lang w:val="en-US" w:eastAsia="zh-CN" w:bidi="ar-SA"/>
    </w:rPr>
  </w:style>
  <w:style w:type="paragraph" w:customStyle="1" w:styleId="34">
    <w:name w:val="null31"/>
    <w:qFormat/>
    <w:uiPriority w:val="0"/>
    <w:rPr>
      <w:rFonts w:ascii="Times New Roman" w:hAnsi="Times New Roman" w:eastAsia="宋体" w:cs="Times New Roman"/>
      <w:szCs w:val="21"/>
      <w:lang w:val="en-US" w:eastAsia="zh-CN" w:bidi="ar-SA"/>
    </w:rPr>
  </w:style>
  <w:style w:type="paragraph" w:customStyle="1" w:styleId="35">
    <w:name w:val="null32"/>
    <w:qFormat/>
    <w:uiPriority w:val="0"/>
    <w:rPr>
      <w:rFonts w:ascii="Times New Roman" w:hAnsi="Times New Roman" w:eastAsia="宋体" w:cs="Times New Roman"/>
      <w:szCs w:val="21"/>
      <w:lang w:val="en-US" w:eastAsia="zh-CN" w:bidi="ar-SA"/>
    </w:rPr>
  </w:style>
  <w:style w:type="paragraph" w:customStyle="1" w:styleId="36">
    <w:name w:val="null33"/>
    <w:qFormat/>
    <w:uiPriority w:val="0"/>
    <w:rPr>
      <w:rFonts w:ascii="Times New Roman" w:hAnsi="Times New Roman" w:eastAsia="宋体" w:cs="Times New Roman"/>
      <w:szCs w:val="21"/>
      <w:lang w:val="en-US" w:eastAsia="zh-CN" w:bidi="ar-SA"/>
    </w:rPr>
  </w:style>
  <w:style w:type="paragraph" w:customStyle="1" w:styleId="37">
    <w:name w:val="null34"/>
    <w:qFormat/>
    <w:uiPriority w:val="0"/>
    <w:rPr>
      <w:rFonts w:ascii="Times New Roman" w:hAnsi="Times New Roman" w:eastAsia="宋体" w:cs="Times New Roman"/>
      <w:szCs w:val="21"/>
      <w:lang w:val="en-US" w:eastAsia="zh-CN" w:bidi="ar-SA"/>
    </w:rPr>
  </w:style>
  <w:style w:type="paragraph" w:customStyle="1" w:styleId="38">
    <w:name w:val="null35"/>
    <w:qFormat/>
    <w:uiPriority w:val="0"/>
    <w:rPr>
      <w:rFonts w:ascii="Times New Roman" w:hAnsi="Times New Roman" w:eastAsia="宋体" w:cs="Times New Roman"/>
      <w:szCs w:val="21"/>
      <w:lang w:val="en-US" w:eastAsia="zh-CN" w:bidi="ar-SA"/>
    </w:rPr>
  </w:style>
  <w:style w:type="paragraph" w:customStyle="1" w:styleId="39">
    <w:name w:val="null36"/>
    <w:qFormat/>
    <w:uiPriority w:val="0"/>
    <w:rPr>
      <w:rFonts w:ascii="Times New Roman" w:hAnsi="Times New Roman" w:eastAsia="宋体" w:cs="Times New Roman"/>
      <w:szCs w:val="21"/>
      <w:lang w:val="en-US" w:eastAsia="zh-CN" w:bidi="ar-SA"/>
    </w:rPr>
  </w:style>
  <w:style w:type="paragraph" w:customStyle="1" w:styleId="40">
    <w:name w:val="null37"/>
    <w:qFormat/>
    <w:uiPriority w:val="0"/>
    <w:rPr>
      <w:rFonts w:ascii="Times New Roman" w:hAnsi="Times New Roman" w:eastAsia="宋体" w:cs="Times New Roman"/>
      <w:szCs w:val="21"/>
      <w:lang w:val="en-US" w:eastAsia="zh-CN" w:bidi="ar-SA"/>
    </w:rPr>
  </w:style>
  <w:style w:type="paragraph" w:customStyle="1" w:styleId="41">
    <w:name w:val="null38"/>
    <w:qFormat/>
    <w:uiPriority w:val="0"/>
    <w:rPr>
      <w:rFonts w:ascii="Times New Roman" w:hAnsi="Times New Roman" w:eastAsia="宋体" w:cs="Times New Roman"/>
      <w:szCs w:val="21"/>
      <w:lang w:val="en-US" w:eastAsia="zh-CN" w:bidi="ar-SA"/>
    </w:rPr>
  </w:style>
  <w:style w:type="paragraph" w:customStyle="1" w:styleId="42">
    <w:name w:val="null39"/>
    <w:qFormat/>
    <w:uiPriority w:val="0"/>
    <w:rPr>
      <w:rFonts w:ascii="Times New Roman" w:hAnsi="Times New Roman" w:eastAsia="宋体" w:cs="Times New Roman"/>
      <w:szCs w:val="21"/>
      <w:lang w:val="en-US" w:eastAsia="zh-CN" w:bidi="ar-SA"/>
    </w:rPr>
  </w:style>
  <w:style w:type="paragraph" w:customStyle="1" w:styleId="43">
    <w:name w:val="null40"/>
    <w:qFormat/>
    <w:uiPriority w:val="0"/>
    <w:rPr>
      <w:rFonts w:ascii="Times New Roman" w:hAnsi="Times New Roman" w:eastAsia="宋体" w:cs="Times New Roman"/>
      <w:szCs w:val="21"/>
      <w:lang w:val="en-US" w:eastAsia="zh-CN" w:bidi="ar-SA"/>
    </w:rPr>
  </w:style>
  <w:style w:type="paragraph" w:customStyle="1" w:styleId="44">
    <w:name w:val="null41"/>
    <w:qFormat/>
    <w:uiPriority w:val="0"/>
    <w:rPr>
      <w:rFonts w:ascii="Times New Roman" w:hAnsi="Times New Roman" w:eastAsia="宋体" w:cs="Times New Roman"/>
      <w:szCs w:val="21"/>
      <w:lang w:val="en-US" w:eastAsia="zh-CN" w:bidi="ar-SA"/>
    </w:rPr>
  </w:style>
  <w:style w:type="paragraph" w:customStyle="1" w:styleId="45">
    <w:name w:val="null42"/>
    <w:qFormat/>
    <w:uiPriority w:val="0"/>
    <w:rPr>
      <w:rFonts w:ascii="Times New Roman" w:hAnsi="Times New Roman" w:eastAsia="宋体" w:cs="Times New Roman"/>
      <w:szCs w:val="21"/>
      <w:lang w:val="en-US" w:eastAsia="zh-CN" w:bidi="ar-SA"/>
    </w:rPr>
  </w:style>
  <w:style w:type="paragraph" w:customStyle="1" w:styleId="46">
    <w:name w:val="null43"/>
    <w:qFormat/>
    <w:uiPriority w:val="0"/>
    <w:rPr>
      <w:rFonts w:ascii="Times New Roman" w:hAnsi="Times New Roman" w:eastAsia="宋体" w:cs="Times New Roman"/>
      <w:szCs w:val="21"/>
      <w:lang w:val="en-US" w:eastAsia="zh-CN" w:bidi="ar-SA"/>
    </w:rPr>
  </w:style>
  <w:style w:type="paragraph" w:customStyle="1" w:styleId="47">
    <w:name w:val="null44"/>
    <w:qFormat/>
    <w:uiPriority w:val="0"/>
    <w:rPr>
      <w:rFonts w:ascii="Times New Roman" w:hAnsi="Times New Roman" w:eastAsia="宋体" w:cs="Times New Roman"/>
      <w:szCs w:val="21"/>
      <w:lang w:val="en-US" w:eastAsia="zh-CN" w:bidi="ar-SA"/>
    </w:rPr>
  </w:style>
  <w:style w:type="paragraph" w:customStyle="1" w:styleId="48">
    <w:name w:val="null45"/>
    <w:qFormat/>
    <w:uiPriority w:val="0"/>
    <w:rPr>
      <w:rFonts w:ascii="Times New Roman" w:hAnsi="Times New Roman" w:eastAsia="宋体" w:cs="Times New Roman"/>
      <w:szCs w:val="21"/>
      <w:lang w:val="en-US" w:eastAsia="zh-CN" w:bidi="ar-SA"/>
    </w:rPr>
  </w:style>
  <w:style w:type="paragraph" w:customStyle="1" w:styleId="49">
    <w:name w:val="null46"/>
    <w:qFormat/>
    <w:uiPriority w:val="0"/>
    <w:rPr>
      <w:rFonts w:ascii="Times New Roman" w:hAnsi="Times New Roman" w:eastAsia="宋体" w:cs="Times New Roman"/>
      <w:szCs w:val="21"/>
      <w:lang w:val="en-US" w:eastAsia="zh-CN" w:bidi="ar-SA"/>
    </w:rPr>
  </w:style>
  <w:style w:type="paragraph" w:customStyle="1" w:styleId="50">
    <w:name w:val="null47"/>
    <w:qFormat/>
    <w:uiPriority w:val="0"/>
    <w:rPr>
      <w:rFonts w:ascii="Times New Roman" w:hAnsi="Times New Roman" w:eastAsia="宋体" w:cs="Times New Roman"/>
      <w:szCs w:val="21"/>
      <w:lang w:val="en-US" w:eastAsia="zh-CN" w:bidi="ar-SA"/>
    </w:rPr>
  </w:style>
  <w:style w:type="paragraph" w:customStyle="1" w:styleId="51">
    <w:name w:val="null48"/>
    <w:qFormat/>
    <w:uiPriority w:val="0"/>
    <w:rPr>
      <w:rFonts w:ascii="Times New Roman" w:hAnsi="Times New Roman" w:eastAsia="宋体" w:cs="Times New Roman"/>
      <w:szCs w:val="21"/>
      <w:lang w:val="en-US" w:eastAsia="zh-CN" w:bidi="ar-SA"/>
    </w:rPr>
  </w:style>
  <w:style w:type="paragraph" w:customStyle="1" w:styleId="52">
    <w:name w:val="null58"/>
    <w:qFormat/>
    <w:uiPriority w:val="0"/>
    <w:rPr>
      <w:rFonts w:ascii="Times New Roman" w:hAnsi="Times New Roman" w:eastAsia="宋体" w:cs="Times New Roman"/>
      <w:szCs w:val="21"/>
      <w:lang w:val="en-US" w:eastAsia="zh-CN" w:bidi="ar-SA"/>
    </w:rPr>
  </w:style>
  <w:style w:type="paragraph" w:customStyle="1" w:styleId="53">
    <w:name w:val="null59"/>
    <w:qFormat/>
    <w:uiPriority w:val="0"/>
    <w:rPr>
      <w:rFonts w:ascii="Times New Roman" w:hAnsi="Times New Roman" w:eastAsia="宋体" w:cs="Times New Roman"/>
      <w:szCs w:val="21"/>
      <w:lang w:val="en-US" w:eastAsia="zh-CN" w:bidi="ar-SA"/>
    </w:rPr>
  </w:style>
  <w:style w:type="paragraph" w:customStyle="1" w:styleId="54">
    <w:name w:val="null60"/>
    <w:qFormat/>
    <w:uiPriority w:val="0"/>
    <w:rPr>
      <w:rFonts w:ascii="Times New Roman" w:hAnsi="Times New Roman" w:eastAsia="宋体" w:cs="Times New Roman"/>
      <w:szCs w:val="21"/>
      <w:lang w:val="en-US" w:eastAsia="zh-CN" w:bidi="ar-SA"/>
    </w:rPr>
  </w:style>
  <w:style w:type="paragraph" w:customStyle="1" w:styleId="55">
    <w:name w:val="null67"/>
    <w:qFormat/>
    <w:uiPriority w:val="0"/>
    <w:rPr>
      <w:rFonts w:ascii="Times New Roman" w:hAnsi="Times New Roman" w:eastAsia="宋体" w:cs="Times New Roman"/>
      <w:szCs w:val="21"/>
      <w:lang w:val="en-US" w:eastAsia="zh-CN" w:bidi="ar-SA"/>
    </w:rPr>
  </w:style>
  <w:style w:type="paragraph" w:customStyle="1" w:styleId="56">
    <w:name w:val="null68"/>
    <w:qFormat/>
    <w:uiPriority w:val="0"/>
    <w:rPr>
      <w:rFonts w:ascii="Times New Roman" w:hAnsi="Times New Roman" w:eastAsia="宋体" w:cs="Times New Roman"/>
      <w:szCs w:val="21"/>
      <w:lang w:val="en-US" w:eastAsia="zh-CN" w:bidi="ar-SA"/>
    </w:rPr>
  </w:style>
  <w:style w:type="paragraph" w:customStyle="1" w:styleId="57">
    <w:name w:val="null69"/>
    <w:qFormat/>
    <w:uiPriority w:val="0"/>
    <w:rPr>
      <w:rFonts w:ascii="Times New Roman" w:hAnsi="Times New Roman" w:eastAsia="宋体" w:cs="Times New Roman"/>
      <w:szCs w:val="21"/>
      <w:lang w:val="en-US" w:eastAsia="zh-CN" w:bidi="ar-SA"/>
    </w:rPr>
  </w:style>
  <w:style w:type="paragraph" w:customStyle="1" w:styleId="58">
    <w:name w:val="null70"/>
    <w:qFormat/>
    <w:uiPriority w:val="0"/>
    <w:rPr>
      <w:rFonts w:ascii="Times New Roman" w:hAnsi="Times New Roman" w:eastAsia="宋体" w:cs="Times New Roman"/>
      <w:szCs w:val="21"/>
      <w:lang w:val="en-US" w:eastAsia="zh-CN" w:bidi="ar-SA"/>
    </w:rPr>
  </w:style>
  <w:style w:type="paragraph" w:customStyle="1" w:styleId="59">
    <w:name w:val="null71"/>
    <w:qFormat/>
    <w:uiPriority w:val="0"/>
    <w:rPr>
      <w:rFonts w:ascii="Times New Roman" w:hAnsi="Times New Roman" w:eastAsia="宋体" w:cs="Times New Roman"/>
      <w:szCs w:val="21"/>
      <w:lang w:val="en-US" w:eastAsia="zh-CN" w:bidi="ar-SA"/>
    </w:rPr>
  </w:style>
  <w:style w:type="paragraph" w:customStyle="1" w:styleId="60">
    <w:name w:val="null72"/>
    <w:qFormat/>
    <w:uiPriority w:val="0"/>
    <w:rPr>
      <w:rFonts w:ascii="Times New Roman" w:hAnsi="Times New Roman" w:eastAsia="宋体" w:cs="Times New Roman"/>
      <w:szCs w:val="21"/>
      <w:lang w:val="en-US" w:eastAsia="zh-CN" w:bidi="ar-SA"/>
    </w:rPr>
  </w:style>
  <w:style w:type="paragraph" w:customStyle="1" w:styleId="61">
    <w:name w:val="null76"/>
    <w:qFormat/>
    <w:uiPriority w:val="0"/>
    <w:rPr>
      <w:rFonts w:ascii="Times New Roman" w:hAnsi="Times New Roman" w:eastAsia="宋体" w:cs="Times New Roman"/>
      <w:szCs w:val="21"/>
      <w:lang w:val="en-US" w:eastAsia="zh-CN" w:bidi="ar-SA"/>
    </w:rPr>
  </w:style>
  <w:style w:type="paragraph" w:customStyle="1" w:styleId="62">
    <w:name w:val="null77"/>
    <w:qFormat/>
    <w:uiPriority w:val="0"/>
    <w:rPr>
      <w:rFonts w:ascii="Times New Roman" w:hAnsi="Times New Roman" w:eastAsia="宋体" w:cs="Times New Roman"/>
      <w:szCs w:val="21"/>
      <w:lang w:val="en-US" w:eastAsia="zh-CN" w:bidi="ar-SA"/>
    </w:rPr>
  </w:style>
  <w:style w:type="paragraph" w:customStyle="1" w:styleId="63">
    <w:name w:val="null78"/>
    <w:qFormat/>
    <w:uiPriority w:val="0"/>
    <w:rPr>
      <w:rFonts w:ascii="Times New Roman" w:hAnsi="Times New Roman" w:eastAsia="宋体" w:cs="Times New Roman"/>
      <w:szCs w:val="21"/>
      <w:lang w:val="en-US" w:eastAsia="zh-CN" w:bidi="ar-SA"/>
    </w:rPr>
  </w:style>
  <w:style w:type="paragraph" w:customStyle="1" w:styleId="64">
    <w:name w:val="null82"/>
    <w:qFormat/>
    <w:uiPriority w:val="0"/>
    <w:rPr>
      <w:rFonts w:ascii="Times New Roman" w:hAnsi="Times New Roman" w:eastAsia="宋体" w:cs="Times New Roman"/>
      <w:szCs w:val="21"/>
      <w:lang w:val="en-US" w:eastAsia="zh-CN" w:bidi="ar-SA"/>
    </w:rPr>
  </w:style>
  <w:style w:type="paragraph" w:customStyle="1" w:styleId="65">
    <w:name w:val="null83"/>
    <w:qFormat/>
    <w:uiPriority w:val="0"/>
    <w:rPr>
      <w:rFonts w:ascii="Times New Roman" w:hAnsi="Times New Roman" w:eastAsia="宋体" w:cs="Times New Roman"/>
      <w:szCs w:val="21"/>
      <w:lang w:val="en-US" w:eastAsia="zh-CN" w:bidi="ar-SA"/>
    </w:rPr>
  </w:style>
  <w:style w:type="paragraph" w:customStyle="1" w:styleId="66">
    <w:name w:val="null84"/>
    <w:qFormat/>
    <w:uiPriority w:val="0"/>
    <w:rPr>
      <w:rFonts w:ascii="Times New Roman" w:hAnsi="Times New Roman" w:eastAsia="宋体" w:cs="Times New Roman"/>
      <w:szCs w:val="21"/>
      <w:lang w:val="en-US" w:eastAsia="zh-CN" w:bidi="ar-SA"/>
    </w:rPr>
  </w:style>
  <w:style w:type="paragraph" w:customStyle="1" w:styleId="67">
    <w:name w:val="null85"/>
    <w:qFormat/>
    <w:uiPriority w:val="0"/>
    <w:rPr>
      <w:rFonts w:ascii="Times New Roman" w:hAnsi="Times New Roman" w:eastAsia="宋体" w:cs="Times New Roman"/>
      <w:szCs w:val="21"/>
      <w:lang w:val="en-US" w:eastAsia="zh-CN" w:bidi="ar-SA"/>
    </w:rPr>
  </w:style>
  <w:style w:type="paragraph" w:customStyle="1" w:styleId="68">
    <w:name w:val="null86"/>
    <w:qFormat/>
    <w:uiPriority w:val="0"/>
    <w:rPr>
      <w:rFonts w:ascii="Times New Roman" w:hAnsi="Times New Roman" w:eastAsia="宋体" w:cs="Times New Roman"/>
      <w:szCs w:val="21"/>
      <w:lang w:val="en-US" w:eastAsia="zh-CN" w:bidi="ar-SA"/>
    </w:rPr>
  </w:style>
  <w:style w:type="paragraph" w:customStyle="1" w:styleId="69">
    <w:name w:val="null87"/>
    <w:qFormat/>
    <w:uiPriority w:val="0"/>
    <w:rPr>
      <w:rFonts w:ascii="Times New Roman" w:hAnsi="Times New Roman" w:eastAsia="宋体" w:cs="Times New Roman"/>
      <w:szCs w:val="21"/>
      <w:lang w:val="en-US" w:eastAsia="zh-CN" w:bidi="ar-SA"/>
    </w:rPr>
  </w:style>
  <w:style w:type="paragraph" w:customStyle="1" w:styleId="70">
    <w:name w:val="首行缩进"/>
    <w:basedOn w:val="1"/>
    <w:qFormat/>
    <w:uiPriority w:val="0"/>
    <w:pPr>
      <w:spacing w:line="360" w:lineRule="auto"/>
      <w:ind w:firstLine="480" w:firstLineChars="200"/>
    </w:pPr>
    <w:rPr>
      <w:rFonts w:ascii="宋体" w:hAnsi="宋体" w:cs="宋体"/>
      <w:kern w:val="0"/>
      <w:sz w:val="24"/>
    </w:rPr>
  </w:style>
  <w:style w:type="character" w:customStyle="1" w:styleId="71">
    <w:name w:val="font51"/>
    <w:basedOn w:val="16"/>
    <w:qFormat/>
    <w:uiPriority w:val="0"/>
    <w:rPr>
      <w:rFonts w:hint="eastAsia" w:ascii="等线" w:hAnsi="等线" w:eastAsia="等线" w:cs="等线"/>
      <w:color w:val="000000"/>
      <w:sz w:val="22"/>
      <w:szCs w:val="22"/>
      <w:u w:val="none"/>
    </w:rPr>
  </w:style>
  <w:style w:type="character" w:customStyle="1" w:styleId="72">
    <w:name w:val="font31"/>
    <w:basedOn w:val="16"/>
    <w:qFormat/>
    <w:uiPriority w:val="0"/>
    <w:rPr>
      <w:rFonts w:hint="eastAsia" w:ascii="宋体" w:hAnsi="宋体" w:eastAsia="宋体" w:cs="宋体"/>
      <w:color w:val="000000"/>
      <w:sz w:val="22"/>
      <w:szCs w:val="22"/>
      <w:u w:val="none"/>
    </w:rPr>
  </w:style>
  <w:style w:type="character" w:customStyle="1" w:styleId="73">
    <w:name w:val="font61"/>
    <w:basedOn w:val="16"/>
    <w:qFormat/>
    <w:uiPriority w:val="0"/>
    <w:rPr>
      <w:rFonts w:hint="eastAsia" w:ascii="等线" w:hAnsi="等线" w:eastAsia="等线" w:cs="等线"/>
      <w:color w:val="000000"/>
      <w:sz w:val="22"/>
      <w:szCs w:val="22"/>
      <w:u w:val="none"/>
    </w:rPr>
  </w:style>
  <w:style w:type="character" w:customStyle="1" w:styleId="74">
    <w:name w:val="font41"/>
    <w:basedOn w:val="16"/>
    <w:qFormat/>
    <w:uiPriority w:val="0"/>
    <w:rPr>
      <w:rFonts w:hint="eastAsia" w:ascii="宋体" w:hAnsi="宋体" w:eastAsia="宋体" w:cs="宋体"/>
      <w:color w:val="000000"/>
      <w:sz w:val="22"/>
      <w:szCs w:val="22"/>
      <w:u w:val="none"/>
    </w:rPr>
  </w:style>
  <w:style w:type="character" w:customStyle="1" w:styleId="75">
    <w:name w:val="font21"/>
    <w:basedOn w:val="16"/>
    <w:uiPriority w:val="0"/>
    <w:rPr>
      <w:rFonts w:ascii="Arial" w:hAnsi="Arial" w:cs="Arial"/>
      <w:color w:val="000000"/>
      <w:sz w:val="28"/>
      <w:szCs w:val="28"/>
      <w:u w:val="none"/>
    </w:rPr>
  </w:style>
  <w:style w:type="character" w:customStyle="1" w:styleId="76">
    <w:name w:val="font11"/>
    <w:basedOn w:val="16"/>
    <w:uiPriority w:val="0"/>
    <w:rPr>
      <w:rFonts w:hint="eastAsia" w:ascii="宋体" w:hAnsi="宋体" w:eastAsia="宋体" w:cs="宋体"/>
      <w:color w:val="000000"/>
      <w:sz w:val="28"/>
      <w:szCs w:val="28"/>
      <w:u w:val="none"/>
    </w:rPr>
  </w:style>
  <w:style w:type="paragraph" w:customStyle="1" w:styleId="77">
    <w:name w:val="（二）级标题"/>
    <w:basedOn w:val="7"/>
    <w:qFormat/>
    <w:uiPriority w:val="2"/>
    <w:pPr>
      <w:numPr>
        <w:ilvl w:val="0"/>
        <w:numId w:val="2"/>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4230</Words>
  <Characters>4398</Characters>
  <Lines>0</Lines>
  <Paragraphs>0</Paragraphs>
  <TotalTime>17</TotalTime>
  <ScaleCrop>false</ScaleCrop>
  <LinksUpToDate>false</LinksUpToDate>
  <CharactersWithSpaces>4473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燕子</cp:lastModifiedBy>
  <dcterms:modified xsi:type="dcterms:W3CDTF">2026-07-09T06:48:15Z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FB00008AF9734EEFAAAAF752AA3E152D_13</vt:lpwstr>
  </property>
  <property fmtid="{D5CDD505-2E9C-101B-9397-08002B2CF9AE}" pid="4" name="KSOTemplateDocerSaveRecord">
    <vt:lpwstr>eyJoZGlkIjoiNDk2NWZkNzEyODc5ZDMzYjE2MzBhOGI0OTQ4NDBjYTkiLCJ1c2VySWQiOiIzOTQ1MDg5MjAifQ==</vt:lpwstr>
  </property>
</Properties>
</file>